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C7F" w:rsidRPr="00AD1C23" w:rsidRDefault="00FF7C7F" w:rsidP="00FF7C7F">
      <w:pPr>
        <w:rPr>
          <w:b/>
        </w:rPr>
      </w:pPr>
      <w:r w:rsidRPr="00AD1C23">
        <w:rPr>
          <w:b/>
        </w:rPr>
        <w:t>Das Präsidium des Landgerichts</w:t>
      </w:r>
    </w:p>
    <w:p w:rsidR="00FF7C7F" w:rsidRDefault="00FF7C7F" w:rsidP="00FF7C7F">
      <w:pPr>
        <w:rPr>
          <w:b/>
        </w:rPr>
      </w:pPr>
      <w:r w:rsidRPr="00AD1C23">
        <w:rPr>
          <w:b/>
        </w:rPr>
        <w:t xml:space="preserve">320 E </w:t>
      </w:r>
      <w:r>
        <w:rPr>
          <w:b/>
        </w:rPr>
        <w:t>– 50.</w:t>
      </w:r>
      <w:r w:rsidRPr="00AD1C23">
        <w:rPr>
          <w:b/>
        </w:rPr>
        <w:t xml:space="preserve"> </w:t>
      </w:r>
      <w:r>
        <w:rPr>
          <w:b/>
        </w:rPr>
        <w:t xml:space="preserve">665 (11) </w:t>
      </w:r>
      <w:r w:rsidRPr="00AD1C23">
        <w:rPr>
          <w:b/>
        </w:rPr>
        <w:tab/>
      </w:r>
      <w:r>
        <w:rPr>
          <w:b/>
        </w:rPr>
        <w:t xml:space="preserve">        </w:t>
      </w:r>
      <w:r>
        <w:rPr>
          <w:b/>
        </w:rPr>
        <w:tab/>
        <w:t xml:space="preserve">        </w:t>
      </w:r>
      <w:r>
        <w:rPr>
          <w:b/>
        </w:rPr>
        <w:tab/>
        <w:t xml:space="preserve">              </w:t>
      </w:r>
      <w:r>
        <w:rPr>
          <w:b/>
        </w:rPr>
        <w:tab/>
        <w:t xml:space="preserve">        </w:t>
      </w:r>
      <w:r w:rsidRPr="00AD1C23">
        <w:rPr>
          <w:b/>
        </w:rPr>
        <w:t xml:space="preserve">Bielefeld, den </w:t>
      </w:r>
      <w:r>
        <w:rPr>
          <w:b/>
        </w:rPr>
        <w:t>1</w:t>
      </w:r>
      <w:r w:rsidR="002C5C75">
        <w:rPr>
          <w:b/>
        </w:rPr>
        <w:t>5</w:t>
      </w:r>
      <w:r>
        <w:rPr>
          <w:b/>
        </w:rPr>
        <w:t>.04.20</w:t>
      </w:r>
      <w:r w:rsidRPr="00AD1C23">
        <w:rPr>
          <w:b/>
        </w:rPr>
        <w:t>1</w:t>
      </w:r>
      <w:r>
        <w:rPr>
          <w:b/>
        </w:rPr>
        <w:t>6</w:t>
      </w:r>
    </w:p>
    <w:p w:rsidR="00FF7C7F" w:rsidRDefault="00FF7C7F" w:rsidP="00FF7C7F">
      <w:pPr>
        <w:rPr>
          <w:b/>
        </w:rPr>
      </w:pPr>
    </w:p>
    <w:p w:rsidR="00FF7C7F" w:rsidRPr="00AD1C23" w:rsidRDefault="00FF7C7F" w:rsidP="00FF7C7F">
      <w:pPr>
        <w:jc w:val="center"/>
        <w:rPr>
          <w:b/>
          <w:u w:val="single"/>
        </w:rPr>
      </w:pPr>
      <w:r>
        <w:rPr>
          <w:b/>
          <w:u w:val="single"/>
        </w:rPr>
        <w:t>06</w:t>
      </w:r>
      <w:r w:rsidRPr="00AD1C23">
        <w:rPr>
          <w:b/>
          <w:u w:val="single"/>
        </w:rPr>
        <w:t>. Änderungsbeschluss zur Geschäftsverteilung</w:t>
      </w:r>
    </w:p>
    <w:p w:rsidR="00FF7C7F" w:rsidRDefault="00FF7C7F" w:rsidP="00FF7C7F">
      <w:pPr>
        <w:jc w:val="center"/>
        <w:rPr>
          <w:b/>
          <w:u w:val="single"/>
        </w:rPr>
      </w:pPr>
      <w:r w:rsidRPr="00AD1C23">
        <w:rPr>
          <w:b/>
          <w:u w:val="single"/>
        </w:rPr>
        <w:t>für das Landgericht Bielefeld im Jahr 201</w:t>
      </w:r>
      <w:r>
        <w:rPr>
          <w:b/>
          <w:u w:val="single"/>
        </w:rPr>
        <w:t>6</w:t>
      </w:r>
    </w:p>
    <w:p w:rsidR="009E1671" w:rsidRDefault="009E1671" w:rsidP="000F69F1">
      <w:pPr>
        <w:jc w:val="both"/>
      </w:pPr>
    </w:p>
    <w:p w:rsidR="00FF7C7F" w:rsidRPr="00FF7C7F" w:rsidRDefault="00FF7C7F" w:rsidP="00551AD8">
      <w:pPr>
        <w:spacing w:line="320" w:lineRule="exact"/>
        <w:jc w:val="both"/>
        <w:rPr>
          <w:b/>
        </w:rPr>
      </w:pPr>
      <w:r>
        <w:rPr>
          <w:b/>
        </w:rPr>
        <w:t>A.</w:t>
      </w:r>
    </w:p>
    <w:p w:rsidR="001114B5" w:rsidRDefault="001114B5" w:rsidP="00551AD8">
      <w:pPr>
        <w:spacing w:line="320" w:lineRule="exact"/>
        <w:jc w:val="both"/>
      </w:pPr>
      <w:r>
        <w:t xml:space="preserve">Richter </w:t>
      </w:r>
      <w:r w:rsidRPr="001114B5">
        <w:rPr>
          <w:b/>
        </w:rPr>
        <w:t>Neu</w:t>
      </w:r>
      <w:r>
        <w:t xml:space="preserve"> scheidet mit Ablauf des 17.04.2016 aus dem Justizdienst des Landes Nordrhein-Westfalen aus.</w:t>
      </w:r>
      <w:r w:rsidR="00FF7C7F">
        <w:t xml:space="preserve"> </w:t>
      </w:r>
      <w:r>
        <w:t xml:space="preserve">Am 18.04.2016 tritt Richterin </w:t>
      </w:r>
      <w:r>
        <w:rPr>
          <w:b/>
        </w:rPr>
        <w:t xml:space="preserve">Schaper </w:t>
      </w:r>
      <w:r>
        <w:t>ihren Dienst bei dem Landgericht Bielefeld an.</w:t>
      </w:r>
    </w:p>
    <w:p w:rsidR="00FF7C7F" w:rsidRDefault="00FF7C7F" w:rsidP="00551AD8">
      <w:pPr>
        <w:spacing w:line="320" w:lineRule="exact"/>
        <w:jc w:val="both"/>
      </w:pPr>
    </w:p>
    <w:p w:rsidR="00FF7C7F" w:rsidRDefault="00FF7C7F" w:rsidP="00551AD8">
      <w:pPr>
        <w:spacing w:line="320" w:lineRule="exact"/>
        <w:jc w:val="both"/>
      </w:pPr>
      <w:r>
        <w:t xml:space="preserve">Aus diesem Anlass wird die richterliche Geschäftsverteilung </w:t>
      </w:r>
      <w:r w:rsidR="00FE1578">
        <w:t xml:space="preserve">mit sofortiger Wirkung </w:t>
      </w:r>
      <w:r>
        <w:t>wie folgt geändert:</w:t>
      </w:r>
    </w:p>
    <w:p w:rsidR="00FF7C7F" w:rsidRDefault="00FF7C7F" w:rsidP="00551AD8">
      <w:pPr>
        <w:spacing w:line="320" w:lineRule="exact"/>
        <w:jc w:val="both"/>
      </w:pPr>
    </w:p>
    <w:p w:rsidR="00635763" w:rsidRDefault="00FE1578" w:rsidP="00635763">
      <w:pPr>
        <w:spacing w:line="320" w:lineRule="exact"/>
        <w:jc w:val="both"/>
      </w:pPr>
      <w:r>
        <w:t xml:space="preserve">1. </w:t>
      </w:r>
      <w:r w:rsidR="00FF7C7F">
        <w:t xml:space="preserve">Richterin </w:t>
      </w:r>
      <w:r>
        <w:rPr>
          <w:b/>
        </w:rPr>
        <w:t>Schaper</w:t>
      </w:r>
      <w:r w:rsidR="00FF7C7F">
        <w:t xml:space="preserve"> wird</w:t>
      </w:r>
      <w:r w:rsidR="00FF7C7F" w:rsidRPr="009E290B">
        <w:t xml:space="preserve"> </w:t>
      </w:r>
      <w:r w:rsidR="00FF7C7F">
        <w:t xml:space="preserve">der </w:t>
      </w:r>
      <w:r>
        <w:t>3</w:t>
      </w:r>
      <w:r w:rsidR="00FF7C7F">
        <w:t>. Zivilkammer zugewiesen.</w:t>
      </w:r>
    </w:p>
    <w:p w:rsidR="000F3EB7" w:rsidRDefault="000F3EB7" w:rsidP="00551AD8">
      <w:pPr>
        <w:spacing w:line="320" w:lineRule="exact"/>
        <w:jc w:val="both"/>
      </w:pPr>
    </w:p>
    <w:p w:rsidR="00FE1578" w:rsidRDefault="00FE1578" w:rsidP="00551AD8">
      <w:pPr>
        <w:spacing w:line="320" w:lineRule="exact"/>
        <w:jc w:val="both"/>
      </w:pPr>
      <w:r>
        <w:t xml:space="preserve">2. Richterin am Landgericht </w:t>
      </w:r>
      <w:r>
        <w:rPr>
          <w:b/>
        </w:rPr>
        <w:t>Recksiegel</w:t>
      </w:r>
      <w:r>
        <w:t xml:space="preserve"> scheidet aus der 3. Zivilkammer aus und wird im Umfang ihres dadurch frei werdenden Arbeitskraftanteils von 0,17 der 1. Z</w:t>
      </w:r>
      <w:r>
        <w:t>i</w:t>
      </w:r>
      <w:r>
        <w:t>vilkammer zugewiesen.</w:t>
      </w:r>
    </w:p>
    <w:p w:rsidR="00E278E8" w:rsidRPr="00673536" w:rsidRDefault="00E278E8" w:rsidP="00551AD8">
      <w:pPr>
        <w:spacing w:line="320" w:lineRule="exact"/>
        <w:jc w:val="both"/>
      </w:pPr>
      <w:r>
        <w:t>In der 18. Zivilkammer übernimmt sie den stellvertretenden Vorsitz.</w:t>
      </w:r>
    </w:p>
    <w:p w:rsidR="00551AD8" w:rsidRDefault="00551AD8" w:rsidP="00551AD8">
      <w:pPr>
        <w:spacing w:line="320" w:lineRule="exact"/>
      </w:pPr>
    </w:p>
    <w:p w:rsidR="00CB7818" w:rsidRDefault="00CB7818" w:rsidP="00551AD8">
      <w:pPr>
        <w:spacing w:line="320" w:lineRule="exact"/>
      </w:pPr>
    </w:p>
    <w:p w:rsidR="00FE1578" w:rsidRDefault="00FE1578" w:rsidP="00551AD8">
      <w:pPr>
        <w:spacing w:line="320" w:lineRule="exact"/>
        <w:rPr>
          <w:b/>
        </w:rPr>
      </w:pPr>
      <w:r>
        <w:rPr>
          <w:b/>
        </w:rPr>
        <w:t>B.</w:t>
      </w:r>
    </w:p>
    <w:p w:rsidR="008C009D" w:rsidRDefault="008C009D" w:rsidP="00551AD8">
      <w:pPr>
        <w:spacing w:line="320" w:lineRule="exact"/>
        <w:jc w:val="both"/>
      </w:pPr>
      <w:r>
        <w:t xml:space="preserve">Die 16. Zivilkammer (7. Kammer für Handelssachen) ist infolge unerwartet hoher Eingänge überlastet. Zu ihrer Entlastung und </w:t>
      </w:r>
      <w:r w:rsidRPr="00EB5295">
        <w:t>zur Gewährleistung gleichmäßiger B</w:t>
      </w:r>
      <w:r w:rsidRPr="00EB5295">
        <w:t>e</w:t>
      </w:r>
      <w:r w:rsidRPr="00EB5295">
        <w:t>lastungen aller Kammern</w:t>
      </w:r>
      <w:r>
        <w:t xml:space="preserve"> für Handelssachen übernimmt die 12. Zivilkammer (3. Kammer für Handelssachen) die nächsten 8 der ab dem 1</w:t>
      </w:r>
      <w:r w:rsidR="00FE1345">
        <w:t>8</w:t>
      </w:r>
      <w:r>
        <w:t>.04.2016 neu eingehe</w:t>
      </w:r>
      <w:r>
        <w:t>n</w:t>
      </w:r>
      <w:r>
        <w:t>den Handelssachen im ersten Rechtszug aus dem Zuständigkeitsbereich der 16. Z</w:t>
      </w:r>
      <w:r>
        <w:t>i</w:t>
      </w:r>
      <w:r>
        <w:t>vilkammer (7. Kammer für Handelssachen), soweit nicht Spezialzuständigkeiten nach Sachgebieten bestehen.</w:t>
      </w:r>
    </w:p>
    <w:p w:rsidR="00FE1578" w:rsidRDefault="00FE1578" w:rsidP="00551AD8">
      <w:pPr>
        <w:spacing w:line="320" w:lineRule="exact"/>
      </w:pPr>
    </w:p>
    <w:p w:rsidR="00CB7818" w:rsidRDefault="00CB7818" w:rsidP="00551AD8">
      <w:pPr>
        <w:spacing w:line="320" w:lineRule="exact"/>
      </w:pPr>
    </w:p>
    <w:p w:rsidR="002514B0" w:rsidRPr="001B24BF" w:rsidRDefault="00EE4D97" w:rsidP="00551AD8">
      <w:pPr>
        <w:spacing w:line="320" w:lineRule="exact"/>
      </w:pPr>
      <w:r>
        <w:rPr>
          <w:b/>
        </w:rPr>
        <w:t>C</w:t>
      </w:r>
      <w:r w:rsidR="00E77C0D">
        <w:rPr>
          <w:b/>
        </w:rPr>
        <w:t>.</w:t>
      </w:r>
    </w:p>
    <w:p w:rsidR="00594D8D" w:rsidRDefault="00594D8D" w:rsidP="0080026C">
      <w:pPr>
        <w:spacing w:line="320" w:lineRule="exact"/>
        <w:jc w:val="both"/>
        <w:rPr>
          <w:bCs/>
        </w:rPr>
      </w:pPr>
      <w:r>
        <w:t>Das bei der 1. Strafkammer anhängige Verfahren</w:t>
      </w:r>
      <w:r w:rsidR="00B67386">
        <w:t xml:space="preserve"> 01 KLs 22/15 </w:t>
      </w:r>
      <w:r>
        <w:t>(</w:t>
      </w:r>
      <w:r w:rsidR="00B67386">
        <w:t>./. Leinert</w:t>
      </w:r>
      <w:r>
        <w:t xml:space="preserve">) unterfällt gemäß der Regelung auf Seite 21 Abs. 3 des </w:t>
      </w:r>
      <w:r w:rsidRPr="00594D8D">
        <w:t>Geschäftsverteilungsplan</w:t>
      </w:r>
      <w:r>
        <w:t xml:space="preserve">s </w:t>
      </w:r>
      <w:r w:rsidRPr="00594D8D">
        <w:rPr>
          <w:bCs/>
        </w:rPr>
        <w:t>des Lan</w:t>
      </w:r>
      <w:r w:rsidRPr="00594D8D">
        <w:rPr>
          <w:bCs/>
        </w:rPr>
        <w:t>d</w:t>
      </w:r>
      <w:r w:rsidRPr="00594D8D">
        <w:rPr>
          <w:bCs/>
        </w:rPr>
        <w:t>gerichts Bielefeld für das Jahr 2016</w:t>
      </w:r>
      <w:r>
        <w:rPr>
          <w:bCs/>
        </w:rPr>
        <w:t xml:space="preserve"> (320 E – 50. 645 (11))</w:t>
      </w:r>
      <w:r w:rsidR="0080026C">
        <w:rPr>
          <w:bCs/>
        </w:rPr>
        <w:t xml:space="preserve"> der Zuständigkeit der 9. Strafkammer.</w:t>
      </w:r>
    </w:p>
    <w:p w:rsidR="00B67386" w:rsidRDefault="0080026C" w:rsidP="0080026C">
      <w:pPr>
        <w:spacing w:line="320" w:lineRule="exact"/>
        <w:jc w:val="both"/>
      </w:pPr>
      <w:r>
        <w:rPr>
          <w:bCs/>
        </w:rPr>
        <w:t>Danach begründet  d</w:t>
      </w:r>
      <w:r w:rsidR="00594D8D" w:rsidRPr="00EB5295">
        <w:t>er Eingang einer Anklage oder Beschluss- und Beschwerdes</w:t>
      </w:r>
      <w:r w:rsidR="00594D8D" w:rsidRPr="00EB5295">
        <w:t>a</w:t>
      </w:r>
      <w:r w:rsidR="00594D8D" w:rsidRPr="00EB5295">
        <w:t xml:space="preserve">che die Zuständigkeit der entscheidenden Kammer für alle weiteren Sachen dieser Art </w:t>
      </w:r>
      <w:r w:rsidR="00594D8D" w:rsidRPr="0080026C">
        <w:rPr>
          <w:u w:val="single"/>
        </w:rPr>
        <w:t>aus demselben Ermittlungskomplex</w:t>
      </w:r>
      <w:r>
        <w:t xml:space="preserve">. </w:t>
      </w:r>
      <w:r w:rsidR="00B67386">
        <w:t xml:space="preserve">Dies ist hier </w:t>
      </w:r>
      <w:r>
        <w:t xml:space="preserve">hinsichtlich des Verfahrens 09 KLs 29/10 </w:t>
      </w:r>
      <w:r w:rsidR="00B67386">
        <w:t>der Fall.</w:t>
      </w:r>
      <w:r>
        <w:t xml:space="preserve"> </w:t>
      </w:r>
      <w:r w:rsidR="00B67386">
        <w:t>Dem Angeklagten Leinert wird Beihilfe zum Betrug zur Last g</w:t>
      </w:r>
      <w:r w:rsidR="00B67386">
        <w:t>e</w:t>
      </w:r>
      <w:r w:rsidR="00B67386">
        <w:t>legt. Die ab Februar 2010 zugrunde liegende Haupttat stellt die Fortsetzung des u</w:t>
      </w:r>
      <w:r w:rsidR="00B67386">
        <w:t>r</w:t>
      </w:r>
      <w:r w:rsidR="00B67386">
        <w:lastRenderedPageBreak/>
        <w:t xml:space="preserve">sprünglichen, im Verfahren 09 KLs 29/10 gegenständlichen Organisationsdelikts dar, als der gefasste Tatplan, durch Mitarbeiter von Callcentern kontaktierte Kunden zur Preisgabe ihrer Kontodaten und Hinnahme von Lastschrifteinzügen zu verleiten, über sehr kurzfristig neu organisierte Strukturen weiterverfolgt wurde.  </w:t>
      </w:r>
    </w:p>
    <w:p w:rsidR="00CE4B73" w:rsidRDefault="00CE4B73" w:rsidP="00CE4B73">
      <w:pPr>
        <w:spacing w:line="240" w:lineRule="auto"/>
        <w:jc w:val="both"/>
      </w:pPr>
    </w:p>
    <w:p w:rsidR="00CB7818" w:rsidRPr="00E77C0D" w:rsidRDefault="00CB7818" w:rsidP="00CE4B73">
      <w:pPr>
        <w:spacing w:line="240" w:lineRule="auto"/>
        <w:jc w:val="both"/>
      </w:pPr>
    </w:p>
    <w:p w:rsidR="002514B0" w:rsidRPr="007723D5" w:rsidRDefault="00EE4D97" w:rsidP="00E77C0D">
      <w:pPr>
        <w:tabs>
          <w:tab w:val="left" w:pos="2835"/>
          <w:tab w:val="left" w:pos="6379"/>
        </w:tabs>
        <w:spacing w:line="320" w:lineRule="exact"/>
        <w:rPr>
          <w:b/>
        </w:rPr>
      </w:pPr>
      <w:r>
        <w:rPr>
          <w:b/>
        </w:rPr>
        <w:t>D</w:t>
      </w:r>
      <w:r w:rsidR="002514B0">
        <w:rPr>
          <w:b/>
        </w:rPr>
        <w:t>.</w:t>
      </w:r>
    </w:p>
    <w:p w:rsidR="0080026C" w:rsidRDefault="0080026C" w:rsidP="0080026C">
      <w:pPr>
        <w:spacing w:line="320" w:lineRule="exact"/>
        <w:jc w:val="both"/>
      </w:pPr>
      <w:r>
        <w:t xml:space="preserve">Die </w:t>
      </w:r>
      <w:r w:rsidRPr="00EC1116">
        <w:rPr>
          <w:b/>
        </w:rPr>
        <w:t>IX.</w:t>
      </w:r>
      <w:r w:rsidRPr="00A07342">
        <w:rPr>
          <w:b/>
        </w:rPr>
        <w:t xml:space="preserve"> große Strafkammer</w:t>
      </w:r>
      <w:r>
        <w:t xml:space="preserve"> ist überlastet. Die Einzelheiten ergeben sich aus der Überlastungsanzeige des Vorsitzenden vom 04.03.2016 (1400 E – 50. 8 (37)) sowie deren Ergänzung vo</w:t>
      </w:r>
      <w:r w:rsidR="00E315F6">
        <w:t>m</w:t>
      </w:r>
      <w:r>
        <w:t xml:space="preserve"> 15.03.2016. </w:t>
      </w:r>
    </w:p>
    <w:p w:rsidR="003321C7" w:rsidRPr="00D05AC6" w:rsidRDefault="0080026C" w:rsidP="00E77C0D">
      <w:pPr>
        <w:spacing w:line="320" w:lineRule="exact"/>
        <w:jc w:val="both"/>
      </w:pPr>
      <w:r>
        <w:t xml:space="preserve">Inzwischen sind bei der Kammer im laufenden Geschäftsjahr bereits 18 KLs-Verfahren eingetragen worden. </w:t>
      </w:r>
      <w:r w:rsidR="003321C7">
        <w:t xml:space="preserve">Ferner hat die 9. Strafkammer das Verfahren 01 Kls 22/15 zu übernehmen (s. </w:t>
      </w:r>
      <w:r w:rsidR="00AA4009">
        <w:t>C</w:t>
      </w:r>
      <w:r w:rsidR="003321C7">
        <w:t xml:space="preserve">.). </w:t>
      </w:r>
      <w:r>
        <w:t xml:space="preserve">Wegen der vorrangig zu bearbeitenden Haft- und Unterbringungssachen sowie der weiterhin andauernden Umfangsverfahren 9 KLs 4/14 sowie 2 Kls 12/15 (in dem der Vorsitzende der IX. Strafkammer den Vorsitz führt) ist </w:t>
      </w:r>
      <w:r w:rsidR="00E315F6">
        <w:t>sicherzustellen</w:t>
      </w:r>
      <w:r>
        <w:t xml:space="preserve">, dass weiter eingehende Verfahren insb. in zeitlicher Hinsicht </w:t>
      </w:r>
      <w:r w:rsidR="00E315F6">
        <w:t>gefördert</w:t>
      </w:r>
      <w:r>
        <w:t xml:space="preserve"> werden könn</w:t>
      </w:r>
      <w:r w:rsidR="00E315F6">
        <w:t>en</w:t>
      </w:r>
      <w:r>
        <w:t>.</w:t>
      </w:r>
      <w:r w:rsidR="00312052">
        <w:t xml:space="preserve"> </w:t>
      </w:r>
      <w:r w:rsidR="00E315F6">
        <w:t xml:space="preserve">Aus diesem Grund </w:t>
      </w:r>
      <w:r w:rsidR="00312052">
        <w:t>wird die nächste eingehende Wir</w:t>
      </w:r>
      <w:r w:rsidR="00312052">
        <w:t>t</w:t>
      </w:r>
      <w:r w:rsidR="00312052">
        <w:t>schaftsstrafsache, die in die Zuständigkeit der 9. Strafkammer fällt, der 1. Strafka</w:t>
      </w:r>
      <w:r w:rsidR="00312052">
        <w:t>m</w:t>
      </w:r>
      <w:r w:rsidR="00312052">
        <w:t xml:space="preserve">mer ohne </w:t>
      </w:r>
      <w:r w:rsidR="003321C7">
        <w:t>Auswirkung a</w:t>
      </w:r>
      <w:r w:rsidR="00312052">
        <w:t>uf den fortlaufenden</w:t>
      </w:r>
      <w:r w:rsidR="003321C7">
        <w:t xml:space="preserve"> Verteilungsmodus der Wirtschaftsstra</w:t>
      </w:r>
      <w:r w:rsidR="003321C7">
        <w:t>f</w:t>
      </w:r>
      <w:r w:rsidR="003321C7">
        <w:t xml:space="preserve">sachen </w:t>
      </w:r>
      <w:r w:rsidR="00E315F6">
        <w:t>zwischen der</w:t>
      </w:r>
      <w:r w:rsidR="003321C7">
        <w:t xml:space="preserve"> 1. und 9. Strafkammer </w:t>
      </w:r>
      <w:r w:rsidR="00312052">
        <w:t>zugeordnet</w:t>
      </w:r>
      <w:r w:rsidR="003321C7">
        <w:t xml:space="preserve">. Die nach dem bestehenden Verteilungsmodus vorgesehen Zuweisung </w:t>
      </w:r>
      <w:r w:rsidR="003321C7" w:rsidRPr="00EB5295">
        <w:t>jede</w:t>
      </w:r>
      <w:r w:rsidR="003321C7">
        <w:t>r</w:t>
      </w:r>
      <w:r w:rsidR="003321C7" w:rsidRPr="00EB5295">
        <w:t xml:space="preserve"> 5. neu eingehende</w:t>
      </w:r>
      <w:r w:rsidR="003321C7">
        <w:t>n</w:t>
      </w:r>
      <w:r w:rsidR="003321C7" w:rsidRPr="00EB5295">
        <w:t xml:space="preserve"> Wirtschaft</w:t>
      </w:r>
      <w:r w:rsidR="003321C7" w:rsidRPr="00EB5295">
        <w:t>s</w:t>
      </w:r>
      <w:r w:rsidR="003321C7" w:rsidRPr="00EB5295">
        <w:t>strafsache</w:t>
      </w:r>
      <w:r w:rsidR="003321C7">
        <w:t xml:space="preserve"> auf die 1. Strafkammer bleibt damit bestehen.</w:t>
      </w:r>
    </w:p>
    <w:p w:rsidR="002514B0" w:rsidRDefault="002514B0" w:rsidP="00E77C0D">
      <w:pPr>
        <w:spacing w:line="320" w:lineRule="exact"/>
      </w:pPr>
    </w:p>
    <w:p w:rsidR="002514B0" w:rsidRDefault="002514B0" w:rsidP="00551AD8">
      <w:pPr>
        <w:spacing w:line="320" w:lineRule="exact"/>
      </w:pPr>
    </w:p>
    <w:p w:rsidR="002514B0" w:rsidRDefault="002514B0" w:rsidP="00551AD8">
      <w:pPr>
        <w:spacing w:line="320" w:lineRule="exact"/>
      </w:pPr>
    </w:p>
    <w:p w:rsidR="002514B0" w:rsidRDefault="002514B0" w:rsidP="00551AD8">
      <w:pPr>
        <w:spacing w:line="320" w:lineRule="exact"/>
      </w:pPr>
    </w:p>
    <w:p w:rsidR="00FF7C7F" w:rsidRDefault="00FF7C7F" w:rsidP="00551AD8">
      <w:pPr>
        <w:spacing w:line="320" w:lineRule="exact"/>
      </w:pPr>
    </w:p>
    <w:p w:rsidR="00FF7C7F" w:rsidRPr="00F02D04" w:rsidRDefault="00FF7C7F" w:rsidP="00551AD8">
      <w:pPr>
        <w:tabs>
          <w:tab w:val="left" w:pos="2835"/>
          <w:tab w:val="left" w:pos="6379"/>
        </w:tabs>
        <w:spacing w:line="320" w:lineRule="exact"/>
      </w:pPr>
      <w:r>
        <w:t>Petermann</w:t>
      </w:r>
      <w:r w:rsidRPr="00F02D04">
        <w:tab/>
      </w:r>
      <w:r w:rsidRPr="008D4AED">
        <w:t>Drees</w:t>
      </w:r>
      <w:r>
        <w:tab/>
        <w:t>Dr. Misera</w:t>
      </w:r>
    </w:p>
    <w:p w:rsidR="00FF7C7F" w:rsidRDefault="00FF7C7F" w:rsidP="00551AD8">
      <w:pPr>
        <w:tabs>
          <w:tab w:val="left" w:pos="2835"/>
          <w:tab w:val="left" w:pos="6379"/>
        </w:tabs>
        <w:spacing w:line="320" w:lineRule="exact"/>
      </w:pPr>
      <w:r>
        <w:tab/>
      </w:r>
      <w:r>
        <w:tab/>
      </w:r>
    </w:p>
    <w:p w:rsidR="00FF7C7F" w:rsidRDefault="00FF7C7F" w:rsidP="00551AD8">
      <w:pPr>
        <w:tabs>
          <w:tab w:val="left" w:pos="2835"/>
          <w:tab w:val="left" w:pos="6379"/>
        </w:tabs>
        <w:spacing w:line="320" w:lineRule="exact"/>
      </w:pPr>
    </w:p>
    <w:p w:rsidR="00FF7C7F" w:rsidRPr="00F02D04" w:rsidRDefault="00FF7C7F" w:rsidP="00551AD8">
      <w:pPr>
        <w:tabs>
          <w:tab w:val="left" w:pos="2835"/>
          <w:tab w:val="left" w:pos="6379"/>
        </w:tabs>
        <w:spacing w:line="320" w:lineRule="exact"/>
      </w:pPr>
    </w:p>
    <w:p w:rsidR="00FF7C7F" w:rsidRDefault="00FF7C7F" w:rsidP="00551AD8">
      <w:pPr>
        <w:tabs>
          <w:tab w:val="left" w:pos="2835"/>
          <w:tab w:val="left" w:pos="6379"/>
        </w:tabs>
        <w:spacing w:line="320" w:lineRule="exact"/>
      </w:pPr>
      <w:r>
        <w:t>Müller</w:t>
      </w:r>
      <w:r>
        <w:tab/>
      </w:r>
      <w:r w:rsidRPr="008D4AED">
        <w:t>Nabel</w:t>
      </w:r>
      <w:r w:rsidRPr="00F02D04">
        <w:tab/>
      </w:r>
      <w:r>
        <w:t>Schröder</w:t>
      </w:r>
      <w:r>
        <w:tab/>
      </w:r>
      <w:r w:rsidRPr="00F02D04">
        <w:tab/>
      </w:r>
    </w:p>
    <w:p w:rsidR="00FF7C7F" w:rsidRDefault="00FF7C7F" w:rsidP="00551AD8">
      <w:pPr>
        <w:tabs>
          <w:tab w:val="left" w:pos="2835"/>
          <w:tab w:val="left" w:pos="6379"/>
        </w:tabs>
        <w:spacing w:line="320" w:lineRule="exact"/>
      </w:pPr>
    </w:p>
    <w:p w:rsidR="00FF7C7F" w:rsidRDefault="00FF7C7F" w:rsidP="00551AD8">
      <w:pPr>
        <w:tabs>
          <w:tab w:val="left" w:pos="2835"/>
          <w:tab w:val="left" w:pos="6379"/>
        </w:tabs>
        <w:spacing w:line="320" w:lineRule="exact"/>
      </w:pPr>
    </w:p>
    <w:p w:rsidR="00FF7C7F" w:rsidRDefault="00FF7C7F" w:rsidP="00551AD8">
      <w:pPr>
        <w:tabs>
          <w:tab w:val="left" w:pos="2835"/>
          <w:tab w:val="left" w:pos="6379"/>
        </w:tabs>
        <w:spacing w:line="320" w:lineRule="exact"/>
      </w:pPr>
    </w:p>
    <w:p w:rsidR="00FF7C7F" w:rsidRDefault="00FF7C7F" w:rsidP="00551AD8">
      <w:pPr>
        <w:tabs>
          <w:tab w:val="left" w:pos="2835"/>
          <w:tab w:val="left" w:pos="6379"/>
        </w:tabs>
        <w:spacing w:line="320" w:lineRule="exact"/>
      </w:pPr>
      <w:r w:rsidRPr="00F02D04">
        <w:t>Wiemann</w:t>
      </w:r>
      <w:r w:rsidRPr="00F02D04">
        <w:tab/>
      </w:r>
      <w:r>
        <w:t>Dr. Windmann</w:t>
      </w:r>
      <w:r>
        <w:tab/>
      </w:r>
      <w:r w:rsidRPr="008D4AED">
        <w:t>Dr. Zimmermann</w:t>
      </w:r>
      <w:r w:rsidR="001B24BF">
        <w:t>*</w:t>
      </w:r>
    </w:p>
    <w:p w:rsidR="001B24BF" w:rsidRDefault="001B24BF" w:rsidP="00551AD8">
      <w:pPr>
        <w:tabs>
          <w:tab w:val="left" w:pos="2835"/>
          <w:tab w:val="left" w:pos="6379"/>
        </w:tabs>
        <w:spacing w:line="320" w:lineRule="exact"/>
      </w:pPr>
    </w:p>
    <w:p w:rsidR="001B24BF" w:rsidRDefault="001B24BF" w:rsidP="00551AD8">
      <w:pPr>
        <w:tabs>
          <w:tab w:val="left" w:pos="2835"/>
          <w:tab w:val="left" w:pos="6379"/>
        </w:tabs>
        <w:spacing w:line="320" w:lineRule="exact"/>
      </w:pPr>
    </w:p>
    <w:p w:rsidR="001B24BF" w:rsidRDefault="001B24BF" w:rsidP="001B24BF">
      <w:pPr>
        <w:tabs>
          <w:tab w:val="left" w:pos="2835"/>
          <w:tab w:val="left" w:pos="6379"/>
        </w:tabs>
        <w:spacing w:line="320" w:lineRule="exact"/>
      </w:pPr>
      <w:r>
        <w:t xml:space="preserve">(* VRLG Dr. Zimmermann </w:t>
      </w:r>
      <w:r w:rsidR="00A75091">
        <w:t>hat an der</w:t>
      </w:r>
      <w:r>
        <w:t xml:space="preserve"> Beschlussfassung zu Punkt </w:t>
      </w:r>
      <w:r w:rsidR="00EE4D97">
        <w:t>C</w:t>
      </w:r>
      <w:r>
        <w:t>.</w:t>
      </w:r>
      <w:r w:rsidR="00A75091">
        <w:t xml:space="preserve"> nicht mitgewirkt</w:t>
      </w:r>
      <w:r>
        <w:t xml:space="preserve">) </w:t>
      </w:r>
    </w:p>
    <w:sectPr w:rsidR="001B24BF" w:rsidSect="007603F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54BA8"/>
    <w:multiLevelType w:val="hybridMultilevel"/>
    <w:tmpl w:val="023AA780"/>
    <w:lvl w:ilvl="0" w:tplc="2B082530">
      <w:start w:val="3"/>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8833F6D"/>
    <w:multiLevelType w:val="hybridMultilevel"/>
    <w:tmpl w:val="5DCE23AC"/>
    <w:lvl w:ilvl="0" w:tplc="4D1E10A8">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B987902"/>
    <w:multiLevelType w:val="hybridMultilevel"/>
    <w:tmpl w:val="A362681C"/>
    <w:lvl w:ilvl="0" w:tplc="1B4C81CA">
      <w:start w:val="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0F69F1"/>
    <w:rsid w:val="00027976"/>
    <w:rsid w:val="00053F0B"/>
    <w:rsid w:val="00077007"/>
    <w:rsid w:val="000E3C75"/>
    <w:rsid w:val="000F3EB7"/>
    <w:rsid w:val="000F69F1"/>
    <w:rsid w:val="001114B5"/>
    <w:rsid w:val="00141C2B"/>
    <w:rsid w:val="001B24BF"/>
    <w:rsid w:val="001D52E6"/>
    <w:rsid w:val="001D7E21"/>
    <w:rsid w:val="002255C6"/>
    <w:rsid w:val="00237E24"/>
    <w:rsid w:val="002514B0"/>
    <w:rsid w:val="002C5C75"/>
    <w:rsid w:val="00312052"/>
    <w:rsid w:val="00317940"/>
    <w:rsid w:val="003321C7"/>
    <w:rsid w:val="00360CF3"/>
    <w:rsid w:val="003C4BB1"/>
    <w:rsid w:val="00420E8C"/>
    <w:rsid w:val="00444857"/>
    <w:rsid w:val="004B01F5"/>
    <w:rsid w:val="00531192"/>
    <w:rsid w:val="00543302"/>
    <w:rsid w:val="00551AD8"/>
    <w:rsid w:val="00557093"/>
    <w:rsid w:val="00590100"/>
    <w:rsid w:val="00594D8D"/>
    <w:rsid w:val="00604F32"/>
    <w:rsid w:val="006073B4"/>
    <w:rsid w:val="00635763"/>
    <w:rsid w:val="006B3AAF"/>
    <w:rsid w:val="006B5DA1"/>
    <w:rsid w:val="00700977"/>
    <w:rsid w:val="007603F1"/>
    <w:rsid w:val="007632CD"/>
    <w:rsid w:val="0080026C"/>
    <w:rsid w:val="00854E83"/>
    <w:rsid w:val="00871EE4"/>
    <w:rsid w:val="00885DC1"/>
    <w:rsid w:val="008C009D"/>
    <w:rsid w:val="00982315"/>
    <w:rsid w:val="009D42BE"/>
    <w:rsid w:val="009E1078"/>
    <w:rsid w:val="009E1671"/>
    <w:rsid w:val="009E7B2E"/>
    <w:rsid w:val="00A36F39"/>
    <w:rsid w:val="00A65203"/>
    <w:rsid w:val="00A75091"/>
    <w:rsid w:val="00A96852"/>
    <w:rsid w:val="00AA4009"/>
    <w:rsid w:val="00AB6970"/>
    <w:rsid w:val="00B6293A"/>
    <w:rsid w:val="00B67386"/>
    <w:rsid w:val="00B74010"/>
    <w:rsid w:val="00BA5173"/>
    <w:rsid w:val="00BF359A"/>
    <w:rsid w:val="00BF5467"/>
    <w:rsid w:val="00BF70CA"/>
    <w:rsid w:val="00C31FFD"/>
    <w:rsid w:val="00C82516"/>
    <w:rsid w:val="00CB7818"/>
    <w:rsid w:val="00CE3BF0"/>
    <w:rsid w:val="00CE4B73"/>
    <w:rsid w:val="00D57D1C"/>
    <w:rsid w:val="00D61ECB"/>
    <w:rsid w:val="00DA34E6"/>
    <w:rsid w:val="00DF2997"/>
    <w:rsid w:val="00E0663E"/>
    <w:rsid w:val="00E278E8"/>
    <w:rsid w:val="00E315F6"/>
    <w:rsid w:val="00E3236D"/>
    <w:rsid w:val="00E77C0D"/>
    <w:rsid w:val="00ED4FFB"/>
    <w:rsid w:val="00EE4D97"/>
    <w:rsid w:val="00F02634"/>
    <w:rsid w:val="00F943D0"/>
    <w:rsid w:val="00FB7D7F"/>
    <w:rsid w:val="00FD7AE8"/>
    <w:rsid w:val="00FE1345"/>
    <w:rsid w:val="00FE1578"/>
    <w:rsid w:val="00FF7C7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de-DE" w:eastAsia="en-US" w:bidi="ar-SA"/>
      </w:rPr>
    </w:rPrDefault>
    <w:pPrDefault>
      <w:pPr>
        <w:spacing w:line="3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69F1"/>
    <w:pPr>
      <w:spacing w:line="360" w:lineRule="auto"/>
      <w:jc w:val="left"/>
    </w:pPr>
    <w:rPr>
      <w:rFonts w:cs="Arial"/>
      <w:szCs w:val="24"/>
    </w:rPr>
  </w:style>
  <w:style w:type="paragraph" w:styleId="berschrift2">
    <w:name w:val="heading 2"/>
    <w:basedOn w:val="Standard"/>
    <w:next w:val="Standard"/>
    <w:link w:val="berschrift2Zchn"/>
    <w:qFormat/>
    <w:rsid w:val="00594D8D"/>
    <w:pPr>
      <w:keepNext/>
      <w:jc w:val="center"/>
      <w:outlineLvl w:val="1"/>
    </w:pPr>
    <w:rPr>
      <w:rFonts w:eastAsia="Times New Roman"/>
      <w:b/>
      <w:bCs/>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1FFD"/>
    <w:pPr>
      <w:ind w:left="720"/>
      <w:contextualSpacing/>
    </w:pPr>
  </w:style>
  <w:style w:type="character" w:customStyle="1" w:styleId="berschrift2Zchn">
    <w:name w:val="Überschrift 2 Zchn"/>
    <w:basedOn w:val="Absatz-Standardschriftart"/>
    <w:link w:val="berschrift2"/>
    <w:rsid w:val="00594D8D"/>
    <w:rPr>
      <w:rFonts w:eastAsia="Times New Roman" w:cs="Arial"/>
      <w:b/>
      <w:bCs/>
      <w:szCs w:val="24"/>
      <w:u w:val="single"/>
      <w:lang w:eastAsia="de-DE"/>
    </w:rPr>
  </w:style>
  <w:style w:type="paragraph" w:styleId="Sprechblasentext">
    <w:name w:val="Balloon Text"/>
    <w:basedOn w:val="Standard"/>
    <w:link w:val="SprechblasentextZchn"/>
    <w:uiPriority w:val="99"/>
    <w:semiHidden/>
    <w:unhideWhenUsed/>
    <w:rsid w:val="00AA40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40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032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Zengerling,Gerrit</dc:creator>
  <cp:lastModifiedBy>DickN</cp:lastModifiedBy>
  <cp:revision>2</cp:revision>
  <cp:lastPrinted>2016-04-14T13:52:00Z</cp:lastPrinted>
  <dcterms:created xsi:type="dcterms:W3CDTF">2016-04-15T13:15:00Z</dcterms:created>
  <dcterms:modified xsi:type="dcterms:W3CDTF">2016-04-15T13:15:00Z</dcterms:modified>
</cp:coreProperties>
</file>