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1541A9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814CCF" w:rsidP="001541A9">
      <w:pPr>
        <w:rPr>
          <w:b/>
        </w:rPr>
      </w:pPr>
      <w:r w:rsidRPr="004010BA">
        <w:rPr>
          <w:b/>
        </w:rPr>
        <w:t>320 E – 50.</w:t>
      </w:r>
      <w:r w:rsidR="004010BA" w:rsidRPr="004010BA">
        <w:rPr>
          <w:b/>
        </w:rPr>
        <w:t>65</w:t>
      </w:r>
      <w:r w:rsidRPr="004010BA">
        <w:rPr>
          <w:b/>
        </w:rPr>
        <w:t xml:space="preserve"> (15)</w:t>
      </w:r>
      <w:r w:rsidR="0038659F" w:rsidRPr="004010BA">
        <w:rPr>
          <w:b/>
        </w:rPr>
        <w:tab/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02281B">
        <w:rPr>
          <w:b/>
        </w:rPr>
        <w:t xml:space="preserve">        </w:t>
      </w:r>
      <w:r w:rsidR="0038659F" w:rsidRPr="004010BA">
        <w:rPr>
          <w:b/>
        </w:rPr>
        <w:t>Bielefeld, den</w:t>
      </w:r>
      <w:r w:rsidR="0038659F">
        <w:rPr>
          <w:b/>
        </w:rPr>
        <w:t xml:space="preserve"> </w:t>
      </w:r>
      <w:r w:rsidR="00E25948">
        <w:rPr>
          <w:b/>
        </w:rPr>
        <w:t>17</w:t>
      </w:r>
      <w:r w:rsidR="00A912DF">
        <w:rPr>
          <w:b/>
        </w:rPr>
        <w:t>.</w:t>
      </w:r>
      <w:r w:rsidR="007C5663">
        <w:rPr>
          <w:b/>
        </w:rPr>
        <w:t>0</w:t>
      </w:r>
      <w:r w:rsidR="00DC5353">
        <w:rPr>
          <w:b/>
        </w:rPr>
        <w:t>2</w:t>
      </w:r>
      <w:r w:rsidR="007C5663">
        <w:rPr>
          <w:b/>
        </w:rPr>
        <w:t>.2020</w:t>
      </w: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  <w:r>
        <w:rPr>
          <w:b/>
        </w:rPr>
        <w:t xml:space="preserve"> </w:t>
      </w:r>
    </w:p>
    <w:p w:rsidR="0038659F" w:rsidRDefault="00DC5353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3</w:t>
      </w:r>
      <w:r w:rsidR="0038659F">
        <w:rPr>
          <w:b/>
          <w:u w:val="single"/>
        </w:rPr>
        <w:t>. Änderungsbeschluss zur Geschäftsverteilung</w:t>
      </w:r>
    </w:p>
    <w:p w:rsidR="0038659F" w:rsidRDefault="0038659F" w:rsidP="001541A9">
      <w:pPr>
        <w:jc w:val="center"/>
        <w:rPr>
          <w:b/>
          <w:u w:val="single"/>
        </w:rPr>
      </w:pPr>
      <w:r>
        <w:rPr>
          <w:b/>
          <w:u w:val="single"/>
        </w:rPr>
        <w:t xml:space="preserve">für das Landgericht Bielefeld im Jahr </w:t>
      </w:r>
      <w:r w:rsidR="00D42A06">
        <w:rPr>
          <w:b/>
          <w:u w:val="single"/>
        </w:rPr>
        <w:t>2020</w:t>
      </w:r>
    </w:p>
    <w:p w:rsidR="0038659F" w:rsidRDefault="0038659F" w:rsidP="001541A9">
      <w:pPr>
        <w:tabs>
          <w:tab w:val="left" w:pos="2835"/>
          <w:tab w:val="left" w:pos="6379"/>
        </w:tabs>
        <w:jc w:val="both"/>
      </w:pPr>
    </w:p>
    <w:p w:rsidR="00DC5353" w:rsidRDefault="00EB3748" w:rsidP="001541A9">
      <w:pPr>
        <w:tabs>
          <w:tab w:val="left" w:pos="2835"/>
          <w:tab w:val="left" w:pos="6379"/>
        </w:tabs>
        <w:jc w:val="both"/>
      </w:pPr>
      <w:r>
        <w:t>pp.</w:t>
      </w:r>
      <w:bookmarkStart w:id="0" w:name="_GoBack"/>
      <w:bookmarkEnd w:id="0"/>
    </w:p>
    <w:p w:rsidR="00BC4BFA" w:rsidRDefault="00BC4BFA" w:rsidP="001541A9">
      <w:pPr>
        <w:tabs>
          <w:tab w:val="left" w:pos="2835"/>
          <w:tab w:val="left" w:pos="6379"/>
        </w:tabs>
        <w:jc w:val="both"/>
      </w:pPr>
    </w:p>
    <w:p w:rsidR="0038659F" w:rsidRDefault="00775BFA" w:rsidP="001541A9">
      <w:pPr>
        <w:tabs>
          <w:tab w:val="left" w:pos="2835"/>
          <w:tab w:val="left" w:pos="6379"/>
        </w:tabs>
        <w:jc w:val="both"/>
      </w:pPr>
      <w:r>
        <w:t>Aus</w:t>
      </w:r>
      <w:r w:rsidR="007A55C0">
        <w:t xml:space="preserve"> diesem Grunde</w:t>
      </w:r>
      <w:r>
        <w:t xml:space="preserve"> wird die Geschäftsverteilung</w:t>
      </w:r>
      <w:r w:rsidR="0051016D">
        <w:t xml:space="preserve"> </w:t>
      </w:r>
      <w:r w:rsidR="0038659F" w:rsidRPr="00C867C1">
        <w:t>wie folgt geändert:</w:t>
      </w:r>
    </w:p>
    <w:p w:rsidR="00760BC1" w:rsidRDefault="00760BC1" w:rsidP="001541A9">
      <w:pPr>
        <w:tabs>
          <w:tab w:val="left" w:pos="2835"/>
          <w:tab w:val="left" w:pos="6379"/>
        </w:tabs>
        <w:jc w:val="both"/>
      </w:pPr>
    </w:p>
    <w:p w:rsidR="00DC5353" w:rsidRPr="00DC5353" w:rsidRDefault="00DC5353" w:rsidP="00DC5353">
      <w:pPr>
        <w:tabs>
          <w:tab w:val="left" w:pos="2835"/>
          <w:tab w:val="left" w:pos="6379"/>
        </w:tabs>
        <w:jc w:val="center"/>
        <w:rPr>
          <w:b/>
        </w:rPr>
      </w:pPr>
      <w:r w:rsidRPr="00DC5353">
        <w:rPr>
          <w:b/>
        </w:rPr>
        <w:t>A.</w:t>
      </w:r>
    </w:p>
    <w:p w:rsidR="00DC5353" w:rsidRDefault="00DC5353" w:rsidP="001541A9">
      <w:pPr>
        <w:tabs>
          <w:tab w:val="left" w:pos="2835"/>
          <w:tab w:val="left" w:pos="6379"/>
        </w:tabs>
        <w:jc w:val="both"/>
      </w:pPr>
    </w:p>
    <w:p w:rsidR="0031100F" w:rsidRPr="00822597" w:rsidRDefault="0031100F" w:rsidP="00822597">
      <w:pPr>
        <w:pStyle w:val="Listenabsatz"/>
      </w:pPr>
      <w:r w:rsidRPr="00822597">
        <w:t xml:space="preserve">Mit Wirkung ab dem </w:t>
      </w:r>
      <w:r w:rsidR="00DC5353">
        <w:t>01.03</w:t>
      </w:r>
      <w:r w:rsidRPr="00822597">
        <w:t>.2020</w:t>
      </w:r>
    </w:p>
    <w:p w:rsidR="0031100F" w:rsidRPr="00822597" w:rsidRDefault="0031100F" w:rsidP="00822597">
      <w:pPr>
        <w:ind w:left="-11"/>
        <w:jc w:val="both"/>
      </w:pPr>
    </w:p>
    <w:p w:rsidR="0031100F" w:rsidRPr="00822597" w:rsidRDefault="0031100F" w:rsidP="00822597">
      <w:pPr>
        <w:ind w:left="-11"/>
        <w:jc w:val="both"/>
      </w:pPr>
      <w:r w:rsidRPr="00822597">
        <w:t>1.</w:t>
      </w:r>
    </w:p>
    <w:p w:rsidR="0031100F" w:rsidRPr="00822597" w:rsidRDefault="0031100F" w:rsidP="00822597">
      <w:pPr>
        <w:ind w:left="-11"/>
        <w:jc w:val="both"/>
      </w:pPr>
      <w:r w:rsidRPr="00822597">
        <w:t xml:space="preserve">Vorsitzender Richter am Landgericht </w:t>
      </w:r>
      <w:r w:rsidR="00DC5353">
        <w:rPr>
          <w:b/>
        </w:rPr>
        <w:t>Kleine</w:t>
      </w:r>
      <w:r w:rsidRPr="00822597">
        <w:t xml:space="preserve"> scheidet </w:t>
      </w:r>
      <w:r w:rsidR="00DC5353">
        <w:t xml:space="preserve">aus der 21. Zivilkammer aus und wird insoweit der 10. Zivilkammer (1. Kammer für Handelssachen) zugewiesen, der er dann mit 0,5 seiner Arbeitskraft angehört. </w:t>
      </w:r>
    </w:p>
    <w:p w:rsidR="0031100F" w:rsidRPr="00822597" w:rsidRDefault="0031100F" w:rsidP="0031100F">
      <w:pPr>
        <w:ind w:left="-11"/>
      </w:pPr>
    </w:p>
    <w:p w:rsidR="0031100F" w:rsidRPr="00822597" w:rsidRDefault="0031100F" w:rsidP="00822597">
      <w:pPr>
        <w:ind w:left="-11"/>
        <w:jc w:val="both"/>
      </w:pPr>
      <w:r w:rsidRPr="00822597">
        <w:t>2.</w:t>
      </w:r>
    </w:p>
    <w:p w:rsidR="00732574" w:rsidRDefault="00DC5353" w:rsidP="00822597">
      <w:pPr>
        <w:ind w:left="-11"/>
        <w:jc w:val="both"/>
      </w:pPr>
      <w:r>
        <w:t xml:space="preserve">Vorsitzender Richter am Landgericht </w:t>
      </w:r>
      <w:r w:rsidRPr="004F5E95">
        <w:rPr>
          <w:b/>
        </w:rPr>
        <w:t>Dr. Misera</w:t>
      </w:r>
      <w:r>
        <w:t xml:space="preserve"> scheidet mit 0,</w:t>
      </w:r>
      <w:r w:rsidR="00D73903">
        <w:t>1</w:t>
      </w:r>
      <w:r>
        <w:t xml:space="preserve"> seiner Arbeitskraft aus der 22. Zivilkammer aus und wird insoweit der 24. Zivilkammer (4. Kammer für Handelssachen) zugewiesen, der er dann mit 0,</w:t>
      </w:r>
      <w:r w:rsidR="00D73903">
        <w:t>1</w:t>
      </w:r>
      <w:r>
        <w:t xml:space="preserve"> seiner Arbeitskraft angehört.</w:t>
      </w:r>
    </w:p>
    <w:p w:rsidR="00A912DF" w:rsidRDefault="00A912DF" w:rsidP="00822597">
      <w:pPr>
        <w:ind w:left="-11"/>
        <w:jc w:val="both"/>
      </w:pPr>
    </w:p>
    <w:p w:rsidR="00A912DF" w:rsidRDefault="00A912DF" w:rsidP="00822597">
      <w:pPr>
        <w:ind w:left="-11"/>
        <w:jc w:val="both"/>
      </w:pPr>
      <w:r>
        <w:t>Die Vertretungsregelung für die 24. Zivilkammer (4. Kammer für Handelssachen) wird dahingehend geändert, dass Vertreter des Vorsitzenden der 24. Zivilkammer die Beisitzer der 22. Zivilkammer beginnend mit dem/der stellvertretenden Vorsitzenden</w:t>
      </w:r>
      <w:r w:rsidRPr="00A912DF">
        <w:t xml:space="preserve"> </w:t>
      </w:r>
      <w:r>
        <w:t>sind.</w:t>
      </w:r>
    </w:p>
    <w:p w:rsidR="00DC5353" w:rsidRPr="00822597" w:rsidRDefault="00DC5353" w:rsidP="00822597">
      <w:pPr>
        <w:ind w:left="-11"/>
        <w:jc w:val="both"/>
      </w:pPr>
    </w:p>
    <w:p w:rsidR="00732574" w:rsidRDefault="00732574" w:rsidP="00822597">
      <w:pPr>
        <w:ind w:left="-11"/>
        <w:jc w:val="both"/>
      </w:pPr>
      <w:r w:rsidRPr="00822597">
        <w:t>3.</w:t>
      </w:r>
    </w:p>
    <w:p w:rsidR="004F5E95" w:rsidRPr="00822597" w:rsidRDefault="004F5E95" w:rsidP="00822597">
      <w:pPr>
        <w:ind w:left="-11"/>
        <w:jc w:val="both"/>
      </w:pPr>
      <w:r>
        <w:rPr>
          <w:rFonts w:eastAsia="Calibri"/>
        </w:rPr>
        <w:t xml:space="preserve">Das Präsidium nimmt nach Anhörung gem. § 21e Abs. 6 GVG zustimmend zur Kenntnis, dass </w:t>
      </w:r>
      <w:r>
        <w:t xml:space="preserve">Vorsitzender Richter am Landgericht </w:t>
      </w:r>
      <w:r w:rsidRPr="004F5E95">
        <w:rPr>
          <w:b/>
        </w:rPr>
        <w:t>Schwartz</w:t>
      </w:r>
      <w:r>
        <w:t xml:space="preserve"> </w:t>
      </w:r>
      <w:r>
        <w:rPr>
          <w:rFonts w:eastAsia="Calibri"/>
        </w:rPr>
        <w:t>im Umfang von 0,3 seiner Arbeitskraft für Aufgaben der Justizverwaltung freigestellt wird.</w:t>
      </w:r>
    </w:p>
    <w:p w:rsidR="00822597" w:rsidRDefault="00822597" w:rsidP="00822597">
      <w:pPr>
        <w:ind w:left="-11"/>
        <w:jc w:val="both"/>
      </w:pPr>
    </w:p>
    <w:p w:rsidR="00822597" w:rsidRDefault="00822597" w:rsidP="00822597">
      <w:pPr>
        <w:jc w:val="both"/>
        <w:rPr>
          <w:rFonts w:eastAsia="Calibri"/>
        </w:rPr>
      </w:pPr>
      <w:r w:rsidRPr="00DD52A3">
        <w:rPr>
          <w:rFonts w:eastAsia="Calibri"/>
        </w:rPr>
        <w:lastRenderedPageBreak/>
        <w:t>4.</w:t>
      </w:r>
      <w:r w:rsidR="004F5E95" w:rsidRPr="00DD52A3">
        <w:rPr>
          <w:rFonts w:eastAsia="Calibri"/>
        </w:rPr>
        <w:t xml:space="preserve"> </w:t>
      </w:r>
    </w:p>
    <w:p w:rsidR="00DD52A3" w:rsidRDefault="002703BE" w:rsidP="002703BE">
      <w:pPr>
        <w:ind w:left="-11"/>
        <w:jc w:val="both"/>
        <w:rPr>
          <w:rFonts w:eastAsia="Calibri"/>
        </w:rPr>
      </w:pPr>
      <w:r>
        <w:rPr>
          <w:rFonts w:eastAsia="Calibri"/>
        </w:rPr>
        <w:t xml:space="preserve">Die Freistellung von </w:t>
      </w:r>
      <w:r w:rsidR="00DD52A3">
        <w:rPr>
          <w:rFonts w:eastAsia="Calibri"/>
        </w:rPr>
        <w:t>Vorsitzende</w:t>
      </w:r>
      <w:r>
        <w:rPr>
          <w:rFonts w:eastAsia="Calibri"/>
        </w:rPr>
        <w:t xml:space="preserve">r </w:t>
      </w:r>
      <w:r w:rsidR="00DD52A3">
        <w:rPr>
          <w:rFonts w:eastAsia="Calibri"/>
        </w:rPr>
        <w:t xml:space="preserve">Richter am Landgericht </w:t>
      </w:r>
      <w:r w:rsidR="00DD52A3" w:rsidRPr="002703BE">
        <w:rPr>
          <w:rFonts w:eastAsia="Calibri"/>
          <w:b/>
        </w:rPr>
        <w:t>Eisenberg</w:t>
      </w:r>
      <w:r w:rsidR="00DD52A3">
        <w:rPr>
          <w:rFonts w:eastAsia="Calibri"/>
        </w:rPr>
        <w:t xml:space="preserve"> </w:t>
      </w:r>
      <w:r>
        <w:rPr>
          <w:rFonts w:eastAsia="Calibri"/>
        </w:rPr>
        <w:t>für Aufgaben der Justizverwaltung endet im Umfang von 0,2 seiner Arbeitskraft. In diesem Umfang wird er</w:t>
      </w:r>
      <w:r w:rsidR="00DD52A3">
        <w:rPr>
          <w:rFonts w:eastAsia="Calibri"/>
        </w:rPr>
        <w:t xml:space="preserve"> der 21. Zivilkamme</w:t>
      </w:r>
      <w:r>
        <w:rPr>
          <w:rFonts w:eastAsia="Calibri"/>
        </w:rPr>
        <w:t>r zugewiesen, der er dann mit 0,2 seiner Arbeitskraft angehört.</w:t>
      </w:r>
    </w:p>
    <w:p w:rsidR="002703BE" w:rsidRDefault="002703BE" w:rsidP="00822597">
      <w:pPr>
        <w:jc w:val="both"/>
        <w:rPr>
          <w:rFonts w:eastAsia="Calibri"/>
        </w:rPr>
      </w:pPr>
    </w:p>
    <w:p w:rsidR="00DD52A3" w:rsidRDefault="00DD52A3" w:rsidP="00822597">
      <w:pPr>
        <w:jc w:val="both"/>
        <w:rPr>
          <w:rFonts w:eastAsia="Calibri"/>
        </w:rPr>
      </w:pPr>
      <w:r>
        <w:rPr>
          <w:rFonts w:eastAsia="Calibri"/>
        </w:rPr>
        <w:t xml:space="preserve">Das Präsidium nimmt nach Anhörung gem. § 21e Abs. 6 GVG zustimmend zur Kenntnis, dass Vorsitzender Richter am Landgericht </w:t>
      </w:r>
      <w:r w:rsidRPr="00DD52A3">
        <w:rPr>
          <w:rFonts w:eastAsia="Calibri"/>
          <w:b/>
        </w:rPr>
        <w:t>Eisenberg</w:t>
      </w:r>
      <w:r>
        <w:rPr>
          <w:rFonts w:eastAsia="Calibri"/>
        </w:rPr>
        <w:t xml:space="preserve"> im Umfang von 0,8 seiner Arbeitskraft für Aufgaben der Justizverwaltung freigestellt bleibt.</w:t>
      </w:r>
    </w:p>
    <w:p w:rsidR="004C5D74" w:rsidRDefault="004C5D74" w:rsidP="00822597">
      <w:pPr>
        <w:jc w:val="both"/>
        <w:rPr>
          <w:rFonts w:eastAsia="Calibri"/>
        </w:rPr>
      </w:pPr>
    </w:p>
    <w:p w:rsidR="004C5D74" w:rsidRDefault="004C5D74" w:rsidP="00822597">
      <w:pPr>
        <w:jc w:val="both"/>
        <w:rPr>
          <w:rFonts w:eastAsia="Calibri"/>
        </w:rPr>
      </w:pPr>
      <w:r>
        <w:rPr>
          <w:rFonts w:eastAsia="Calibri"/>
        </w:rPr>
        <w:t>5.</w:t>
      </w:r>
    </w:p>
    <w:p w:rsidR="004C5D74" w:rsidRDefault="004C5D74" w:rsidP="004C5D74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775BFA">
        <w:rPr>
          <w:b/>
        </w:rPr>
        <w:t>Brock</w:t>
      </w:r>
      <w:r>
        <w:t xml:space="preserve"> scheidet aus der 4. großen Strafkammer aus und wird mit voller Arbeitskraft der 9. Zivilkammer zugewiesen.</w:t>
      </w:r>
    </w:p>
    <w:p w:rsidR="00BC4BFA" w:rsidRDefault="00BC4BFA" w:rsidP="004C5D74">
      <w:pPr>
        <w:tabs>
          <w:tab w:val="left" w:pos="2835"/>
          <w:tab w:val="left" w:pos="6379"/>
        </w:tabs>
        <w:jc w:val="both"/>
      </w:pPr>
    </w:p>
    <w:p w:rsidR="00BC4BFA" w:rsidRPr="00BA32F8" w:rsidRDefault="00BC4BFA" w:rsidP="00BC4BFA">
      <w:pPr>
        <w:jc w:val="both"/>
      </w:pPr>
      <w:r>
        <w:t xml:space="preserve">Richterin am Landgericht </w:t>
      </w:r>
      <w:r w:rsidRPr="00BC4BFA">
        <w:rPr>
          <w:b/>
        </w:rPr>
        <w:t>Brock</w:t>
      </w:r>
      <w:r>
        <w:t xml:space="preserve"> </w:t>
      </w:r>
      <w:r w:rsidRPr="00BA32F8">
        <w:t>bleibt in den Verfahren</w:t>
      </w:r>
      <w:r w:rsidR="00C806A5">
        <w:t xml:space="preserve"> gegen </w:t>
      </w:r>
      <w:proofErr w:type="spellStart"/>
      <w:r w:rsidR="00C806A5">
        <w:t>Hasbolat</w:t>
      </w:r>
      <w:proofErr w:type="spellEnd"/>
      <w:r w:rsidR="00C806A5">
        <w:t xml:space="preserve"> u.a. (4 KLs 44/17), gegen </w:t>
      </w:r>
      <w:proofErr w:type="spellStart"/>
      <w:r w:rsidR="00C806A5">
        <w:t>Kostromin</w:t>
      </w:r>
      <w:proofErr w:type="spellEnd"/>
      <w:r w:rsidR="00C806A5">
        <w:t xml:space="preserve"> u.a. (4 KLs 44/18),</w:t>
      </w:r>
      <w:r w:rsidRPr="00BA32F8">
        <w:t xml:space="preserve"> gegen </w:t>
      </w:r>
      <w:r>
        <w:t>Khalaf</w:t>
      </w:r>
      <w:r w:rsidRPr="00BA32F8">
        <w:t xml:space="preserve"> u.a. (</w:t>
      </w:r>
      <w:r>
        <w:t xml:space="preserve">4 </w:t>
      </w:r>
      <w:proofErr w:type="spellStart"/>
      <w:r>
        <w:t>Ks</w:t>
      </w:r>
      <w:proofErr w:type="spellEnd"/>
      <w:r>
        <w:t xml:space="preserve"> 2/19</w:t>
      </w:r>
      <w:r w:rsidR="00C806A5">
        <w:t xml:space="preserve">) und </w:t>
      </w:r>
      <w:r w:rsidRPr="00BA32F8">
        <w:t xml:space="preserve">gegen </w:t>
      </w:r>
      <w:r>
        <w:t>Jasper</w:t>
      </w:r>
      <w:r w:rsidRPr="00BA32F8">
        <w:t xml:space="preserve"> (</w:t>
      </w:r>
      <w:r>
        <w:t>4 KLs 39/19</w:t>
      </w:r>
      <w:r w:rsidRPr="00BA32F8">
        <w:t xml:space="preserve">) </w:t>
      </w:r>
      <w:r w:rsidR="00C806A5">
        <w:t xml:space="preserve">jeweils </w:t>
      </w:r>
      <w:r w:rsidRPr="00BA32F8">
        <w:t>sowohl für die in als auch die außerhalb der Hauptverhandlung zu treffenden Entscheidungen zuständig.</w:t>
      </w:r>
    </w:p>
    <w:p w:rsidR="00BC4BFA" w:rsidRDefault="00BC4BFA" w:rsidP="004C5D74">
      <w:pPr>
        <w:tabs>
          <w:tab w:val="left" w:pos="2835"/>
          <w:tab w:val="left" w:pos="6379"/>
        </w:tabs>
        <w:jc w:val="both"/>
      </w:pPr>
    </w:p>
    <w:p w:rsidR="0031100F" w:rsidRDefault="0031100F" w:rsidP="0031100F">
      <w:pPr>
        <w:ind w:left="-11"/>
      </w:pPr>
    </w:p>
    <w:p w:rsidR="00760BC1" w:rsidRPr="00A57D46" w:rsidRDefault="00A57D46" w:rsidP="00A57D46">
      <w:pPr>
        <w:pStyle w:val="Listenabsatz"/>
      </w:pPr>
      <w:r w:rsidRPr="00A57D46">
        <w:t>M</w:t>
      </w:r>
      <w:r w:rsidR="00760BC1" w:rsidRPr="00A57D46">
        <w:t>it Wirkung ab dem 0</w:t>
      </w:r>
      <w:r w:rsidR="00DC5353">
        <w:t>6</w:t>
      </w:r>
      <w:r w:rsidR="00A56B37">
        <w:t>.</w:t>
      </w:r>
      <w:r w:rsidR="00D42A06">
        <w:t>0</w:t>
      </w:r>
      <w:r w:rsidR="00DC5353">
        <w:t>3</w:t>
      </w:r>
      <w:r w:rsidR="00760BC1" w:rsidRPr="00A57D46">
        <w:t>.20</w:t>
      </w:r>
      <w:r w:rsidR="00D42A06">
        <w:t>20</w:t>
      </w:r>
    </w:p>
    <w:p w:rsidR="0038659F" w:rsidRPr="0049132B" w:rsidRDefault="0038659F" w:rsidP="001541A9">
      <w:pPr>
        <w:tabs>
          <w:tab w:val="left" w:pos="2835"/>
          <w:tab w:val="left" w:pos="6379"/>
        </w:tabs>
        <w:jc w:val="both"/>
        <w:rPr>
          <w:b/>
          <w:highlight w:val="yellow"/>
        </w:rPr>
      </w:pPr>
    </w:p>
    <w:p w:rsidR="00F25073" w:rsidRPr="004F5E95" w:rsidRDefault="00F25073" w:rsidP="00026EB6">
      <w:pPr>
        <w:jc w:val="both"/>
        <w:rPr>
          <w:rFonts w:eastAsia="Calibri"/>
        </w:rPr>
      </w:pPr>
      <w:r w:rsidRPr="004F5E95">
        <w:rPr>
          <w:rFonts w:eastAsia="Calibri"/>
        </w:rPr>
        <w:t>1.</w:t>
      </w:r>
    </w:p>
    <w:p w:rsidR="00822597" w:rsidRPr="004F5E95" w:rsidRDefault="00F25073" w:rsidP="00026EB6">
      <w:pPr>
        <w:jc w:val="both"/>
        <w:rPr>
          <w:rFonts w:eastAsia="Calibri"/>
        </w:rPr>
      </w:pPr>
      <w:r w:rsidRPr="004F5E95">
        <w:rPr>
          <w:rFonts w:eastAsia="Calibri"/>
        </w:rPr>
        <w:t xml:space="preserve">Richter </w:t>
      </w:r>
      <w:proofErr w:type="spellStart"/>
      <w:r w:rsidRPr="004F5E95">
        <w:rPr>
          <w:rFonts w:eastAsia="Calibri"/>
          <w:b/>
        </w:rPr>
        <w:t>Simoneit</w:t>
      </w:r>
      <w:proofErr w:type="spellEnd"/>
      <w:r w:rsidRPr="004F5E95">
        <w:rPr>
          <w:rFonts w:eastAsia="Calibri"/>
        </w:rPr>
        <w:t xml:space="preserve"> scheidet aus der</w:t>
      </w:r>
      <w:r w:rsidR="00DC5353" w:rsidRPr="004F5E95">
        <w:rPr>
          <w:rFonts w:eastAsia="Calibri"/>
        </w:rPr>
        <w:t xml:space="preserve"> 2. </w:t>
      </w:r>
      <w:r w:rsidR="004F5E95">
        <w:rPr>
          <w:rFonts w:eastAsia="Calibri"/>
        </w:rPr>
        <w:t>g</w:t>
      </w:r>
      <w:r w:rsidR="00DC5353" w:rsidRPr="004F5E95">
        <w:rPr>
          <w:rFonts w:eastAsia="Calibri"/>
        </w:rPr>
        <w:t>roßen Strafkammer aus und wird mit jeweils 0,25 seiner Arbeitskraft der</w:t>
      </w:r>
      <w:r w:rsidRPr="004F5E95">
        <w:rPr>
          <w:rFonts w:eastAsia="Calibri"/>
        </w:rPr>
        <w:t xml:space="preserve"> 15. Strafkammer (Strafvollstreckungskammer) und der 1</w:t>
      </w:r>
      <w:r w:rsidR="00D73903">
        <w:rPr>
          <w:rFonts w:eastAsia="Calibri"/>
        </w:rPr>
        <w:t>7</w:t>
      </w:r>
      <w:r w:rsidRPr="004F5E95">
        <w:rPr>
          <w:rFonts w:eastAsia="Calibri"/>
        </w:rPr>
        <w:t xml:space="preserve">. Strafkammer (Strafvollstreckungskammer) </w:t>
      </w:r>
      <w:r w:rsidR="00DC5353" w:rsidRPr="004F5E95">
        <w:rPr>
          <w:rFonts w:eastAsia="Calibri"/>
        </w:rPr>
        <w:t>zugewiesen, denen er dann jeweils mit 0,25 seiner Arbeitskraft angehört</w:t>
      </w:r>
      <w:r w:rsidRPr="004F5E95">
        <w:rPr>
          <w:rFonts w:eastAsia="Calibri"/>
        </w:rPr>
        <w:t xml:space="preserve">. </w:t>
      </w:r>
    </w:p>
    <w:p w:rsidR="00DC5353" w:rsidRPr="004F5E95" w:rsidRDefault="00DC5353" w:rsidP="00026EB6">
      <w:pPr>
        <w:jc w:val="both"/>
        <w:rPr>
          <w:rFonts w:eastAsia="Calibri"/>
        </w:rPr>
      </w:pPr>
    </w:p>
    <w:p w:rsidR="00822597" w:rsidRPr="004F5E95" w:rsidRDefault="00822597" w:rsidP="00026EB6">
      <w:pPr>
        <w:jc w:val="both"/>
        <w:rPr>
          <w:rFonts w:eastAsia="Calibri"/>
        </w:rPr>
      </w:pPr>
      <w:r w:rsidRPr="004F5E95">
        <w:rPr>
          <w:rFonts w:eastAsia="Calibri"/>
        </w:rPr>
        <w:t>2.</w:t>
      </w:r>
    </w:p>
    <w:p w:rsidR="00822597" w:rsidRDefault="00822597" w:rsidP="00026EB6">
      <w:pPr>
        <w:jc w:val="both"/>
        <w:rPr>
          <w:rFonts w:eastAsia="Calibri"/>
        </w:rPr>
      </w:pPr>
      <w:r w:rsidRPr="004F5E95">
        <w:rPr>
          <w:rFonts w:eastAsia="Calibri"/>
        </w:rPr>
        <w:t xml:space="preserve">Richter am Landgericht </w:t>
      </w:r>
      <w:r w:rsidRPr="004F5E95">
        <w:rPr>
          <w:rFonts w:eastAsia="Calibri"/>
          <w:b/>
        </w:rPr>
        <w:t>Tepaße</w:t>
      </w:r>
      <w:r w:rsidRPr="004F5E95">
        <w:rPr>
          <w:rFonts w:eastAsia="Calibri"/>
        </w:rPr>
        <w:t xml:space="preserve"> scheidet aus der </w:t>
      </w:r>
      <w:r w:rsidR="00DC5353" w:rsidRPr="004F5E95">
        <w:rPr>
          <w:rFonts w:eastAsia="Calibri"/>
        </w:rPr>
        <w:t>17. Strafkammer (Strafvollstreckungskammer)</w:t>
      </w:r>
      <w:r w:rsidRPr="004F5E95">
        <w:rPr>
          <w:rFonts w:eastAsia="Calibri"/>
        </w:rPr>
        <w:t xml:space="preserve"> aus und wird </w:t>
      </w:r>
      <w:r w:rsidR="00DC5353" w:rsidRPr="004F5E95">
        <w:rPr>
          <w:rFonts w:eastAsia="Calibri"/>
        </w:rPr>
        <w:t>insoweit</w:t>
      </w:r>
      <w:r w:rsidRPr="004F5E95">
        <w:rPr>
          <w:rFonts w:eastAsia="Calibri"/>
        </w:rPr>
        <w:t xml:space="preserve"> der </w:t>
      </w:r>
      <w:r w:rsidR="00DC5353" w:rsidRPr="004F5E95">
        <w:rPr>
          <w:rFonts w:eastAsia="Calibri"/>
        </w:rPr>
        <w:t xml:space="preserve">21. großen Strafkammer </w:t>
      </w:r>
      <w:r w:rsidRPr="004F5E95">
        <w:rPr>
          <w:rFonts w:eastAsia="Calibri"/>
        </w:rPr>
        <w:t>zugewiesen, der er dann mit 0,</w:t>
      </w:r>
      <w:r w:rsidR="00DC5353" w:rsidRPr="004F5E95">
        <w:rPr>
          <w:rFonts w:eastAsia="Calibri"/>
        </w:rPr>
        <w:t>5</w:t>
      </w:r>
      <w:r w:rsidRPr="004F5E95">
        <w:rPr>
          <w:rFonts w:eastAsia="Calibri"/>
        </w:rPr>
        <w:t xml:space="preserve"> seiner Arbeitskraft angehört.</w:t>
      </w:r>
      <w:r>
        <w:rPr>
          <w:rFonts w:eastAsia="Calibri"/>
        </w:rPr>
        <w:t xml:space="preserve"> </w:t>
      </w:r>
    </w:p>
    <w:p w:rsidR="00C806A5" w:rsidRDefault="00C806A5" w:rsidP="00026EB6">
      <w:pPr>
        <w:jc w:val="both"/>
        <w:rPr>
          <w:rFonts w:eastAsia="Calibri"/>
        </w:rPr>
      </w:pPr>
    </w:p>
    <w:p w:rsidR="00DC5353" w:rsidRDefault="00DC5353" w:rsidP="00026EB6">
      <w:pPr>
        <w:jc w:val="both"/>
        <w:rPr>
          <w:rFonts w:eastAsia="Calibri"/>
        </w:rPr>
      </w:pPr>
      <w:r>
        <w:rPr>
          <w:rFonts w:eastAsia="Calibri"/>
        </w:rPr>
        <w:t>3.</w:t>
      </w:r>
    </w:p>
    <w:p w:rsidR="00DC5353" w:rsidRDefault="00DC5353" w:rsidP="00026EB6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Richterin </w:t>
      </w:r>
      <w:r w:rsidRPr="004F5E95">
        <w:rPr>
          <w:rFonts w:eastAsia="Calibri"/>
          <w:b/>
        </w:rPr>
        <w:t>Dr. Hellmeier</w:t>
      </w:r>
      <w:r>
        <w:rPr>
          <w:rFonts w:eastAsia="Calibri"/>
        </w:rPr>
        <w:t xml:space="preserve"> scheidet aus der 18. Strafkammer (Strafvollstreckungskammer) aus und wird insoweit der 4. großen Strafkammer zugewiesen, der sie dann mit voller Arbeitskraft angehört.</w:t>
      </w:r>
    </w:p>
    <w:p w:rsidR="00A912DF" w:rsidRDefault="00A912DF" w:rsidP="00026EB6">
      <w:pPr>
        <w:jc w:val="both"/>
        <w:rPr>
          <w:rFonts w:eastAsia="Calibri"/>
        </w:rPr>
      </w:pPr>
    </w:p>
    <w:p w:rsidR="00DC5353" w:rsidRDefault="00DC5353" w:rsidP="00026EB6">
      <w:pPr>
        <w:jc w:val="both"/>
        <w:rPr>
          <w:rFonts w:eastAsia="Calibri"/>
        </w:rPr>
      </w:pPr>
      <w:r>
        <w:rPr>
          <w:rFonts w:eastAsia="Calibri"/>
        </w:rPr>
        <w:t>4.</w:t>
      </w:r>
    </w:p>
    <w:p w:rsidR="004F5E95" w:rsidRDefault="004F5E95" w:rsidP="00026EB6">
      <w:pPr>
        <w:jc w:val="both"/>
        <w:rPr>
          <w:rFonts w:eastAsia="Calibri"/>
        </w:rPr>
      </w:pPr>
      <w:r>
        <w:rPr>
          <w:rFonts w:eastAsia="Calibri"/>
        </w:rPr>
        <w:t xml:space="preserve">Richter am Landgericht </w:t>
      </w:r>
      <w:proofErr w:type="spellStart"/>
      <w:r w:rsidRPr="004F5E95">
        <w:rPr>
          <w:rFonts w:eastAsia="Calibri"/>
          <w:b/>
        </w:rPr>
        <w:t>Golombek</w:t>
      </w:r>
      <w:proofErr w:type="spellEnd"/>
      <w:r>
        <w:rPr>
          <w:rFonts w:eastAsia="Calibri"/>
        </w:rPr>
        <w:t xml:space="preserve"> wird mit 0,7 seiner Arbeitskraft der 2. großen Strafkammer und mit 0,3 seiner Arbeitskraft der 18. Strafkammer (Strafvollstreckungskammer) zugewiesen.</w:t>
      </w:r>
    </w:p>
    <w:p w:rsidR="00D73903" w:rsidRDefault="00D73903" w:rsidP="00026EB6">
      <w:pPr>
        <w:jc w:val="both"/>
        <w:rPr>
          <w:rFonts w:eastAsia="Calibri"/>
        </w:rPr>
      </w:pPr>
    </w:p>
    <w:p w:rsidR="00F25073" w:rsidRDefault="00DC5353" w:rsidP="00DC5353">
      <w:pPr>
        <w:jc w:val="center"/>
        <w:rPr>
          <w:rFonts w:eastAsia="Calibri"/>
          <w:b/>
        </w:rPr>
      </w:pPr>
      <w:r w:rsidRPr="00DC5353">
        <w:rPr>
          <w:rFonts w:eastAsia="Calibri"/>
          <w:b/>
        </w:rPr>
        <w:t>B.</w:t>
      </w:r>
    </w:p>
    <w:p w:rsidR="003B05F9" w:rsidRPr="00DC5353" w:rsidRDefault="003B05F9" w:rsidP="00DC5353">
      <w:pPr>
        <w:jc w:val="center"/>
        <w:rPr>
          <w:rFonts w:eastAsia="Calibri"/>
          <w:b/>
        </w:rPr>
      </w:pPr>
    </w:p>
    <w:p w:rsidR="006868D6" w:rsidRDefault="006868D6" w:rsidP="00026EB6">
      <w:pPr>
        <w:jc w:val="both"/>
        <w:rPr>
          <w:rFonts w:eastAsia="Calibri"/>
        </w:rPr>
      </w:pPr>
      <w:r>
        <w:rPr>
          <w:rFonts w:eastAsia="Calibri"/>
        </w:rPr>
        <w:t>1.</w:t>
      </w:r>
    </w:p>
    <w:p w:rsidR="00DC5353" w:rsidRDefault="00DC5353" w:rsidP="00026EB6">
      <w:pPr>
        <w:jc w:val="both"/>
        <w:rPr>
          <w:rFonts w:eastAsia="Calibri"/>
        </w:rPr>
      </w:pPr>
      <w:r>
        <w:rPr>
          <w:rFonts w:eastAsia="Calibri"/>
        </w:rPr>
        <w:t>Zum Ausgleich der reduzierten Besetzungsstärke der 22. Zivilkammer werden die ab dem 01.03.2020 für die 24. Zivilkammer (4. Kammer für Handelssachen) eingehenden Verfahren</w:t>
      </w:r>
      <w:r w:rsidR="00D73903">
        <w:rPr>
          <w:rFonts w:eastAsia="Calibri"/>
        </w:rPr>
        <w:t xml:space="preserve"> als Eingänge</w:t>
      </w:r>
      <w:r>
        <w:rPr>
          <w:rFonts w:eastAsia="Calibri"/>
        </w:rPr>
        <w:t xml:space="preserve"> zugunsten der 22. Zivilkammer in den Turnuskreisen Berufung 1 (im Falle einer Berufung) und Beschwerde 1 (im Falle einer Beschwerde) berücksichtigt.</w:t>
      </w:r>
    </w:p>
    <w:p w:rsidR="00186E2F" w:rsidRDefault="00186E2F" w:rsidP="00026EB6">
      <w:pPr>
        <w:jc w:val="both"/>
        <w:rPr>
          <w:rFonts w:eastAsia="Calibri"/>
        </w:rPr>
      </w:pPr>
    </w:p>
    <w:p w:rsidR="006868D6" w:rsidRDefault="006868D6" w:rsidP="00026EB6">
      <w:pPr>
        <w:jc w:val="both"/>
        <w:rPr>
          <w:rFonts w:eastAsia="Calibri"/>
        </w:rPr>
      </w:pPr>
      <w:r>
        <w:rPr>
          <w:rFonts w:eastAsia="Calibri"/>
        </w:rPr>
        <w:t>2.</w:t>
      </w:r>
    </w:p>
    <w:p w:rsidR="006868D6" w:rsidRDefault="006868D6" w:rsidP="00026EB6">
      <w:pPr>
        <w:jc w:val="both"/>
        <w:rPr>
          <w:rFonts w:eastAsia="Calibri"/>
        </w:rPr>
      </w:pPr>
      <w:r>
        <w:rPr>
          <w:rFonts w:eastAsia="Calibri"/>
        </w:rPr>
        <w:t>Zum Ausgleich der reduzierten Besetzungsstärke der 21. Zivilkammer wird die Turnuszahl der Kammer</w:t>
      </w:r>
      <w:r w:rsidR="00DD52A3">
        <w:rPr>
          <w:rFonts w:eastAsia="Calibri"/>
        </w:rPr>
        <w:t xml:space="preserve"> </w:t>
      </w:r>
      <w:r>
        <w:rPr>
          <w:rFonts w:eastAsia="Calibri"/>
        </w:rPr>
        <w:t xml:space="preserve">in den Turnuskreisen Berufung 1 und Beschwerde 1 </w:t>
      </w:r>
      <w:r w:rsidR="00E07E7E">
        <w:rPr>
          <w:rFonts w:eastAsia="Calibri"/>
        </w:rPr>
        <w:t xml:space="preserve">ab dem 01.03.2020 ab dem jeweils nächsten Turnusdurchlauf </w:t>
      </w:r>
      <w:r>
        <w:rPr>
          <w:rFonts w:eastAsia="Calibri"/>
        </w:rPr>
        <w:t>auf 5 herabgesetzt.</w:t>
      </w:r>
    </w:p>
    <w:p w:rsidR="006868D6" w:rsidRDefault="006868D6" w:rsidP="00026EB6">
      <w:pPr>
        <w:jc w:val="both"/>
        <w:rPr>
          <w:rFonts w:eastAsia="Calibri"/>
        </w:rPr>
      </w:pPr>
    </w:p>
    <w:p w:rsidR="00E411C4" w:rsidRDefault="00E411C4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6868D6" w:rsidRDefault="006868D6" w:rsidP="006868D6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C</w:t>
      </w:r>
      <w:r w:rsidRPr="006868D6">
        <w:rPr>
          <w:rFonts w:eastAsia="Calibri"/>
          <w:b/>
        </w:rPr>
        <w:t>.</w:t>
      </w:r>
    </w:p>
    <w:p w:rsidR="006868D6" w:rsidRPr="006868D6" w:rsidRDefault="006868D6" w:rsidP="006868D6">
      <w:pPr>
        <w:jc w:val="center"/>
        <w:rPr>
          <w:rFonts w:eastAsia="Calibri"/>
          <w:b/>
        </w:rPr>
      </w:pPr>
    </w:p>
    <w:p w:rsidR="006868D6" w:rsidRDefault="006868D6" w:rsidP="00026EB6">
      <w:pPr>
        <w:jc w:val="both"/>
        <w:rPr>
          <w:rFonts w:eastAsia="Calibri"/>
        </w:rPr>
      </w:pPr>
      <w:r>
        <w:rPr>
          <w:rFonts w:eastAsia="Calibri"/>
        </w:rPr>
        <w:t>Der Geschäftsverteilungsplan wird zudem wie folgt ergänzt:</w:t>
      </w:r>
    </w:p>
    <w:p w:rsidR="006868D6" w:rsidRDefault="006868D6" w:rsidP="00026EB6">
      <w:pPr>
        <w:jc w:val="both"/>
        <w:rPr>
          <w:rFonts w:eastAsia="Calibri"/>
        </w:rPr>
      </w:pPr>
    </w:p>
    <w:p w:rsidR="006868D6" w:rsidRDefault="006868D6" w:rsidP="00026EB6">
      <w:pPr>
        <w:jc w:val="both"/>
        <w:rPr>
          <w:rFonts w:eastAsia="Calibri"/>
        </w:rPr>
      </w:pPr>
      <w:r>
        <w:rPr>
          <w:rFonts w:eastAsia="Calibri"/>
        </w:rPr>
        <w:t xml:space="preserve">Bei Richter am Landgericht </w:t>
      </w:r>
      <w:r w:rsidRPr="006868D6">
        <w:rPr>
          <w:rFonts w:eastAsia="Calibri"/>
          <w:b/>
        </w:rPr>
        <w:t xml:space="preserve">Dr. </w:t>
      </w:r>
      <w:proofErr w:type="spellStart"/>
      <w:r w:rsidRPr="006868D6">
        <w:rPr>
          <w:rFonts w:eastAsia="Calibri"/>
          <w:b/>
        </w:rPr>
        <w:t>Kochmann</w:t>
      </w:r>
      <w:proofErr w:type="spellEnd"/>
      <w:r>
        <w:rPr>
          <w:rFonts w:eastAsia="Calibri"/>
        </w:rPr>
        <w:t xml:space="preserve"> und Richterin am Landgericht </w:t>
      </w:r>
      <w:r w:rsidRPr="006868D6">
        <w:rPr>
          <w:rFonts w:eastAsia="Calibri"/>
          <w:b/>
        </w:rPr>
        <w:t>Seidler</w:t>
      </w:r>
      <w:r>
        <w:rPr>
          <w:rFonts w:eastAsia="Calibri"/>
        </w:rPr>
        <w:t xml:space="preserve"> handelt es sich um an das Landgericht Bielefeld abgeordnete Richter.</w:t>
      </w:r>
    </w:p>
    <w:p w:rsidR="002313C3" w:rsidRDefault="002313C3" w:rsidP="00026EB6">
      <w:pPr>
        <w:jc w:val="both"/>
        <w:rPr>
          <w:rFonts w:eastAsia="Calibri"/>
        </w:rPr>
      </w:pPr>
    </w:p>
    <w:p w:rsidR="0038659F" w:rsidRDefault="0038659F" w:rsidP="001541A9">
      <w:pPr>
        <w:jc w:val="both"/>
        <w:rPr>
          <w:rFonts w:eastAsia="Calibri"/>
        </w:rPr>
      </w:pPr>
    </w:p>
    <w:p w:rsidR="00A912DF" w:rsidRDefault="00A912DF" w:rsidP="001541A9">
      <w:pPr>
        <w:jc w:val="both"/>
        <w:rPr>
          <w:rFonts w:eastAsia="Calibri"/>
        </w:rPr>
      </w:pPr>
    </w:p>
    <w:p w:rsidR="00A912DF" w:rsidRDefault="00A912DF" w:rsidP="001541A9">
      <w:pPr>
        <w:jc w:val="both"/>
        <w:rPr>
          <w:rFonts w:eastAsia="Calibri"/>
        </w:rPr>
      </w:pPr>
    </w:p>
    <w:p w:rsidR="00A912DF" w:rsidRDefault="00A912DF" w:rsidP="001541A9">
      <w:pPr>
        <w:jc w:val="both"/>
        <w:rPr>
          <w:rFonts w:eastAsia="Calibri"/>
        </w:rPr>
      </w:pPr>
    </w:p>
    <w:p w:rsidR="00A912DF" w:rsidRDefault="00A912D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7A55C0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38659F">
        <w:rPr>
          <w:rFonts w:eastAsia="Calibri"/>
        </w:rPr>
        <w:tab/>
        <w:t>Dr. Misera</w:t>
      </w:r>
      <w:r w:rsidR="0038659F">
        <w:rPr>
          <w:rFonts w:eastAsia="Calibri"/>
        </w:rPr>
        <w:tab/>
        <w:t>Müller</w:t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 xml:space="preserve">Dr. </w:t>
      </w:r>
      <w:proofErr w:type="spellStart"/>
      <w:r>
        <w:rPr>
          <w:rFonts w:eastAsia="Calibri"/>
        </w:rPr>
        <w:t>Windmann</w:t>
      </w:r>
      <w:proofErr w:type="spellEnd"/>
      <w:r>
        <w:rPr>
          <w:rFonts w:eastAsia="Calibri"/>
        </w:rPr>
        <w:tab/>
        <w:t>Dr. Zimmermann</w:t>
      </w:r>
    </w:p>
    <w:p w:rsidR="0038659F" w:rsidRDefault="0038659F" w:rsidP="001541A9">
      <w:pPr>
        <w:jc w:val="both"/>
        <w:rPr>
          <w:rFonts w:eastAsia="Calibri"/>
        </w:rPr>
      </w:pPr>
    </w:p>
    <w:sectPr w:rsidR="0038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6C00C6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4286E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A54"/>
    <w:multiLevelType w:val="hybridMultilevel"/>
    <w:tmpl w:val="B018342C"/>
    <w:lvl w:ilvl="0" w:tplc="F662CB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91808"/>
    <w:multiLevelType w:val="hybridMultilevel"/>
    <w:tmpl w:val="FA960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115B"/>
    <w:multiLevelType w:val="hybridMultilevel"/>
    <w:tmpl w:val="5112AE2E"/>
    <w:lvl w:ilvl="0" w:tplc="A132A2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63F"/>
    <w:multiLevelType w:val="hybridMultilevel"/>
    <w:tmpl w:val="356CC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D39D1"/>
    <w:multiLevelType w:val="hybridMultilevel"/>
    <w:tmpl w:val="4E6A967E"/>
    <w:lvl w:ilvl="0" w:tplc="0D060D02">
      <w:start w:val="1"/>
      <w:numFmt w:val="upperRoman"/>
      <w:pStyle w:val="Listenabsatz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2C7C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01F52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4C7B"/>
    <w:multiLevelType w:val="hybridMultilevel"/>
    <w:tmpl w:val="D07845D8"/>
    <w:lvl w:ilvl="0" w:tplc="E818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321"/>
    <w:multiLevelType w:val="hybridMultilevel"/>
    <w:tmpl w:val="C7E662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021574"/>
    <w:rsid w:val="0002281B"/>
    <w:rsid w:val="00026EB6"/>
    <w:rsid w:val="00030022"/>
    <w:rsid w:val="00072077"/>
    <w:rsid w:val="00097F92"/>
    <w:rsid w:val="001143FF"/>
    <w:rsid w:val="001230B2"/>
    <w:rsid w:val="00123A91"/>
    <w:rsid w:val="00130ACB"/>
    <w:rsid w:val="00147589"/>
    <w:rsid w:val="001541A9"/>
    <w:rsid w:val="00161D76"/>
    <w:rsid w:val="00186E2F"/>
    <w:rsid w:val="001975A5"/>
    <w:rsid w:val="001A3BA3"/>
    <w:rsid w:val="001C6D28"/>
    <w:rsid w:val="0022697F"/>
    <w:rsid w:val="002313C3"/>
    <w:rsid w:val="002607D7"/>
    <w:rsid w:val="0026408E"/>
    <w:rsid w:val="002703BE"/>
    <w:rsid w:val="00271D44"/>
    <w:rsid w:val="00281039"/>
    <w:rsid w:val="00282E10"/>
    <w:rsid w:val="00290B05"/>
    <w:rsid w:val="002A7C35"/>
    <w:rsid w:val="002B30CE"/>
    <w:rsid w:val="0031100F"/>
    <w:rsid w:val="003439E1"/>
    <w:rsid w:val="0034561D"/>
    <w:rsid w:val="0038659F"/>
    <w:rsid w:val="003918ED"/>
    <w:rsid w:val="00392457"/>
    <w:rsid w:val="003B05F9"/>
    <w:rsid w:val="003B735F"/>
    <w:rsid w:val="003C5F94"/>
    <w:rsid w:val="004010BA"/>
    <w:rsid w:val="00405511"/>
    <w:rsid w:val="0041019B"/>
    <w:rsid w:val="00476E91"/>
    <w:rsid w:val="00477233"/>
    <w:rsid w:val="0049132B"/>
    <w:rsid w:val="004B22BC"/>
    <w:rsid w:val="004C5D74"/>
    <w:rsid w:val="004C7DE1"/>
    <w:rsid w:val="004F0725"/>
    <w:rsid w:val="004F5E95"/>
    <w:rsid w:val="0051016D"/>
    <w:rsid w:val="00556C67"/>
    <w:rsid w:val="005714BB"/>
    <w:rsid w:val="005A098E"/>
    <w:rsid w:val="005C477E"/>
    <w:rsid w:val="005C7869"/>
    <w:rsid w:val="0062053F"/>
    <w:rsid w:val="006675D0"/>
    <w:rsid w:val="00681FE7"/>
    <w:rsid w:val="006868D6"/>
    <w:rsid w:val="007022C8"/>
    <w:rsid w:val="00717749"/>
    <w:rsid w:val="00724FD3"/>
    <w:rsid w:val="00732574"/>
    <w:rsid w:val="00760BC1"/>
    <w:rsid w:val="00775BFA"/>
    <w:rsid w:val="007938E6"/>
    <w:rsid w:val="007A55C0"/>
    <w:rsid w:val="007C5663"/>
    <w:rsid w:val="007D7214"/>
    <w:rsid w:val="00814CCF"/>
    <w:rsid w:val="00822597"/>
    <w:rsid w:val="00833FF5"/>
    <w:rsid w:val="00851F63"/>
    <w:rsid w:val="0089127D"/>
    <w:rsid w:val="00891FCD"/>
    <w:rsid w:val="008B7B4F"/>
    <w:rsid w:val="008C7867"/>
    <w:rsid w:val="008E7D51"/>
    <w:rsid w:val="00911944"/>
    <w:rsid w:val="009460AF"/>
    <w:rsid w:val="009B7F57"/>
    <w:rsid w:val="009D30C1"/>
    <w:rsid w:val="009E64D5"/>
    <w:rsid w:val="00A152CD"/>
    <w:rsid w:val="00A41D63"/>
    <w:rsid w:val="00A56B37"/>
    <w:rsid w:val="00A57D46"/>
    <w:rsid w:val="00A87E0F"/>
    <w:rsid w:val="00A912DF"/>
    <w:rsid w:val="00A913C7"/>
    <w:rsid w:val="00A94346"/>
    <w:rsid w:val="00AC17C5"/>
    <w:rsid w:val="00AE54D6"/>
    <w:rsid w:val="00B33BE6"/>
    <w:rsid w:val="00B4015F"/>
    <w:rsid w:val="00B53620"/>
    <w:rsid w:val="00B772C6"/>
    <w:rsid w:val="00B77C54"/>
    <w:rsid w:val="00B963D6"/>
    <w:rsid w:val="00BA77B0"/>
    <w:rsid w:val="00BC4BFA"/>
    <w:rsid w:val="00BF7763"/>
    <w:rsid w:val="00C0550B"/>
    <w:rsid w:val="00C15D2C"/>
    <w:rsid w:val="00C670A1"/>
    <w:rsid w:val="00C7079E"/>
    <w:rsid w:val="00C775A1"/>
    <w:rsid w:val="00C806A5"/>
    <w:rsid w:val="00C867C1"/>
    <w:rsid w:val="00C87A66"/>
    <w:rsid w:val="00CB4F69"/>
    <w:rsid w:val="00CF36F6"/>
    <w:rsid w:val="00CF5324"/>
    <w:rsid w:val="00D03E58"/>
    <w:rsid w:val="00D17B61"/>
    <w:rsid w:val="00D2285F"/>
    <w:rsid w:val="00D3365E"/>
    <w:rsid w:val="00D42A06"/>
    <w:rsid w:val="00D73903"/>
    <w:rsid w:val="00DB2319"/>
    <w:rsid w:val="00DC4743"/>
    <w:rsid w:val="00DC5353"/>
    <w:rsid w:val="00DD52A3"/>
    <w:rsid w:val="00DD59DB"/>
    <w:rsid w:val="00DF1AF8"/>
    <w:rsid w:val="00DF1F0A"/>
    <w:rsid w:val="00DF6F45"/>
    <w:rsid w:val="00E04A21"/>
    <w:rsid w:val="00E07E7E"/>
    <w:rsid w:val="00E25948"/>
    <w:rsid w:val="00E411C4"/>
    <w:rsid w:val="00E54904"/>
    <w:rsid w:val="00E60861"/>
    <w:rsid w:val="00EB3748"/>
    <w:rsid w:val="00F12ECA"/>
    <w:rsid w:val="00F21446"/>
    <w:rsid w:val="00F25073"/>
    <w:rsid w:val="00F82D9E"/>
    <w:rsid w:val="00FA1E2D"/>
    <w:rsid w:val="00FA2DF4"/>
    <w:rsid w:val="00FB6544"/>
    <w:rsid w:val="00FD78A3"/>
    <w:rsid w:val="00FF054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A57D46"/>
    <w:pPr>
      <w:numPr>
        <w:numId w:val="15"/>
      </w:numPr>
      <w:tabs>
        <w:tab w:val="left" w:pos="2835"/>
        <w:tab w:val="left" w:pos="6379"/>
      </w:tabs>
      <w:ind w:left="709"/>
      <w:contextualSpacing/>
      <w:jc w:val="both"/>
    </w:pPr>
    <w:rPr>
      <w:rFonts w:eastAsia="Calibri"/>
      <w:b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B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BE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0C1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30C1"/>
    <w:rPr>
      <w:rFonts w:ascii="Arial" w:hAnsi="Arial"/>
      <w:sz w:val="24"/>
      <w:szCs w:val="21"/>
    </w:rPr>
  </w:style>
  <w:style w:type="paragraph" w:customStyle="1" w:styleId="Default">
    <w:name w:val="Default"/>
    <w:basedOn w:val="Standard"/>
    <w:rsid w:val="00D17B61"/>
    <w:pPr>
      <w:autoSpaceDE w:val="0"/>
      <w:autoSpaceDN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C4C7-219C-403C-A49E-5CAC1D63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47E23175.dotm</Template>
  <TotalTime>0</TotalTime>
  <Pages>4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Kölling, Laura-Ariane</cp:lastModifiedBy>
  <cp:revision>15</cp:revision>
  <cp:lastPrinted>2020-02-17T11:50:00Z</cp:lastPrinted>
  <dcterms:created xsi:type="dcterms:W3CDTF">2020-02-04T15:27:00Z</dcterms:created>
  <dcterms:modified xsi:type="dcterms:W3CDTF">2023-04-28T11:20:00Z</dcterms:modified>
</cp:coreProperties>
</file>