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FF0" w:rsidRDefault="00A06FF0" w:rsidP="00A06FF0">
      <w:pPr>
        <w:outlineLvl w:val="0"/>
        <w:rPr>
          <w:b/>
        </w:rPr>
      </w:pPr>
      <w:r>
        <w:rPr>
          <w:b/>
        </w:rPr>
        <w:t>Das Präsidium des Landgerichts</w:t>
      </w:r>
    </w:p>
    <w:p w:rsidR="00A06FF0" w:rsidRDefault="00A06FF0" w:rsidP="00A06FF0">
      <w:pPr>
        <w:rPr>
          <w:b/>
        </w:rPr>
      </w:pPr>
      <w:r>
        <w:rPr>
          <w:b/>
        </w:rPr>
        <w:t>320 E – 50.65 (15)</w:t>
      </w:r>
      <w:r>
        <w:rPr>
          <w:b/>
        </w:rPr>
        <w:tab/>
      </w:r>
      <w:r>
        <w:rPr>
          <w:b/>
        </w:rPr>
        <w:tab/>
        <w:t xml:space="preserve">        </w:t>
      </w:r>
      <w:r>
        <w:rPr>
          <w:b/>
        </w:rPr>
        <w:tab/>
        <w:t xml:space="preserve">        </w:t>
      </w:r>
      <w:r>
        <w:rPr>
          <w:b/>
        </w:rPr>
        <w:tab/>
      </w:r>
      <w:r>
        <w:rPr>
          <w:b/>
        </w:rPr>
        <w:tab/>
      </w:r>
      <w:r>
        <w:rPr>
          <w:b/>
        </w:rPr>
        <w:tab/>
        <w:t xml:space="preserve">        Bielefeld, den </w:t>
      </w:r>
      <w:r w:rsidR="0030394B">
        <w:rPr>
          <w:b/>
        </w:rPr>
        <w:t>29</w:t>
      </w:r>
      <w:r>
        <w:rPr>
          <w:b/>
        </w:rPr>
        <w:t>.0</w:t>
      </w:r>
      <w:r w:rsidR="00117397">
        <w:rPr>
          <w:b/>
        </w:rPr>
        <w:t>6</w:t>
      </w:r>
      <w:r>
        <w:rPr>
          <w:b/>
        </w:rPr>
        <w:t>.2020</w:t>
      </w:r>
    </w:p>
    <w:p w:rsidR="00A06FF0" w:rsidRDefault="00A06FF0" w:rsidP="00A06FF0">
      <w:pPr>
        <w:rPr>
          <w:b/>
        </w:rPr>
      </w:pPr>
    </w:p>
    <w:p w:rsidR="00A06FF0" w:rsidRDefault="00CF62B9" w:rsidP="00A06FF0">
      <w:pPr>
        <w:jc w:val="center"/>
        <w:outlineLvl w:val="0"/>
        <w:rPr>
          <w:b/>
          <w:u w:val="single"/>
        </w:rPr>
      </w:pPr>
      <w:r>
        <w:rPr>
          <w:b/>
          <w:u w:val="single"/>
        </w:rPr>
        <w:t>9</w:t>
      </w:r>
      <w:r w:rsidR="00A06FF0">
        <w:rPr>
          <w:b/>
          <w:u w:val="single"/>
        </w:rPr>
        <w:t>. Änderungsbeschluss zur Geschäftsverteilung</w:t>
      </w:r>
    </w:p>
    <w:p w:rsidR="00A06FF0" w:rsidRDefault="00A06FF0" w:rsidP="00A06FF0">
      <w:pPr>
        <w:jc w:val="center"/>
        <w:rPr>
          <w:b/>
          <w:u w:val="single"/>
        </w:rPr>
      </w:pPr>
      <w:r>
        <w:rPr>
          <w:b/>
          <w:u w:val="single"/>
        </w:rPr>
        <w:t>für das Landgericht Bielefeld im Jahr 2020</w:t>
      </w:r>
    </w:p>
    <w:p w:rsidR="00A06FF0" w:rsidRDefault="00A06FF0" w:rsidP="004760A5">
      <w:pPr>
        <w:tabs>
          <w:tab w:val="left" w:pos="2835"/>
          <w:tab w:val="left" w:pos="6379"/>
        </w:tabs>
        <w:spacing w:after="240"/>
        <w:jc w:val="both"/>
      </w:pPr>
    </w:p>
    <w:p w:rsidR="0066705D" w:rsidRDefault="009668F8" w:rsidP="004760A5">
      <w:pPr>
        <w:spacing w:after="240"/>
        <w:jc w:val="both"/>
        <w:rPr>
          <w:b/>
        </w:rPr>
      </w:pPr>
      <w:r>
        <w:rPr>
          <w:b/>
        </w:rPr>
        <w:t>pp.</w:t>
      </w:r>
    </w:p>
    <w:p w:rsidR="009668F8" w:rsidRDefault="009668F8" w:rsidP="004760A5">
      <w:pPr>
        <w:spacing w:after="240"/>
        <w:jc w:val="both"/>
      </w:pPr>
      <w:bookmarkStart w:id="0" w:name="_GoBack"/>
      <w:bookmarkEnd w:id="0"/>
    </w:p>
    <w:p w:rsidR="004760A5" w:rsidRDefault="004760A5" w:rsidP="0070593F">
      <w:pPr>
        <w:spacing w:after="120"/>
        <w:jc w:val="both"/>
      </w:pPr>
      <w:r>
        <w:t xml:space="preserve">Die Geschäftsverteilung wird aus diesen Gründen </w:t>
      </w:r>
      <w:r>
        <w:rPr>
          <w:b/>
        </w:rPr>
        <w:t>mit Wirkung ab dem 01.07.2020</w:t>
      </w:r>
      <w:r>
        <w:t xml:space="preserve"> wie folgt geändert:</w:t>
      </w:r>
    </w:p>
    <w:p w:rsidR="004760A5" w:rsidRDefault="004760A5" w:rsidP="0070593F">
      <w:pPr>
        <w:spacing w:after="120"/>
        <w:jc w:val="both"/>
      </w:pPr>
    </w:p>
    <w:p w:rsidR="004760A5" w:rsidRDefault="004760A5" w:rsidP="0070593F">
      <w:pPr>
        <w:spacing w:after="120"/>
        <w:jc w:val="both"/>
      </w:pPr>
      <w:r>
        <w:t>1.</w:t>
      </w:r>
    </w:p>
    <w:p w:rsidR="004760A5" w:rsidRDefault="004760A5" w:rsidP="0070593F">
      <w:pPr>
        <w:spacing w:after="120"/>
        <w:jc w:val="both"/>
      </w:pPr>
      <w:r>
        <w:t xml:space="preserve">Richterin </w:t>
      </w:r>
      <w:r>
        <w:rPr>
          <w:b/>
        </w:rPr>
        <w:t>Gößling</w:t>
      </w:r>
      <w:r>
        <w:t xml:space="preserve"> scheidet mit 0,5 ihrer Arbeitskraft aus der 6. Zivilkammer aus</w:t>
      </w:r>
      <w:r w:rsidR="0070593F">
        <w:t xml:space="preserve"> und </w:t>
      </w:r>
      <w:r w:rsidR="00D11DC1">
        <w:t>wird</w:t>
      </w:r>
      <w:r>
        <w:t xml:space="preserve"> </w:t>
      </w:r>
      <w:r w:rsidR="0070593F">
        <w:t xml:space="preserve">in diesem Umfang </w:t>
      </w:r>
      <w:r w:rsidR="00D11DC1">
        <w:t>der</w:t>
      </w:r>
      <w:r>
        <w:t xml:space="preserve"> 2. Zivilkammer </w:t>
      </w:r>
      <w:r w:rsidR="00D11DC1">
        <w:t>zugewiesen</w:t>
      </w:r>
      <w:r w:rsidR="0070593F">
        <w:t>.</w:t>
      </w:r>
    </w:p>
    <w:p w:rsidR="0070593F" w:rsidRDefault="0070593F" w:rsidP="0070593F">
      <w:pPr>
        <w:spacing w:after="120"/>
        <w:jc w:val="both"/>
      </w:pPr>
    </w:p>
    <w:p w:rsidR="0070593F" w:rsidRDefault="0070593F" w:rsidP="0070593F">
      <w:pPr>
        <w:spacing w:after="120"/>
        <w:jc w:val="both"/>
      </w:pPr>
      <w:r>
        <w:t>2.</w:t>
      </w:r>
    </w:p>
    <w:p w:rsidR="0070593F" w:rsidRDefault="0070593F" w:rsidP="0070593F">
      <w:pPr>
        <w:spacing w:after="120"/>
        <w:jc w:val="both"/>
      </w:pPr>
      <w:r>
        <w:t xml:space="preserve">Richter </w:t>
      </w:r>
      <w:r>
        <w:rPr>
          <w:b/>
        </w:rPr>
        <w:t>Meier</w:t>
      </w:r>
      <w:r>
        <w:t xml:space="preserve"> </w:t>
      </w:r>
      <w:r w:rsidR="00D11DC1">
        <w:t>wird der 6. Zivilkammer zugewiesen.</w:t>
      </w:r>
    </w:p>
    <w:p w:rsidR="0070593F" w:rsidRDefault="0070593F" w:rsidP="0070593F">
      <w:pPr>
        <w:spacing w:after="120"/>
        <w:jc w:val="both"/>
      </w:pPr>
    </w:p>
    <w:p w:rsidR="0070593F" w:rsidRDefault="0070593F" w:rsidP="0070593F">
      <w:pPr>
        <w:spacing w:after="120"/>
        <w:jc w:val="both"/>
      </w:pPr>
      <w:r>
        <w:t>3.</w:t>
      </w:r>
    </w:p>
    <w:p w:rsidR="0070593F" w:rsidRPr="00B923E5" w:rsidRDefault="002113D8" w:rsidP="00B923E5">
      <w:pPr>
        <w:jc w:val="both"/>
        <w:rPr>
          <w:rFonts w:eastAsia="Calibri"/>
        </w:rPr>
      </w:pPr>
      <w:r>
        <w:t xml:space="preserve">Vorsitzender Richter am Landgericht </w:t>
      </w:r>
      <w:r>
        <w:rPr>
          <w:b/>
        </w:rPr>
        <w:t>Glashörster</w:t>
      </w:r>
      <w:r>
        <w:t xml:space="preserve"> scheidet aus der 20. </w:t>
      </w:r>
      <w:r w:rsidR="0008462C">
        <w:t>großen </w:t>
      </w:r>
      <w:r>
        <w:t xml:space="preserve">Strafkammer aus und </w:t>
      </w:r>
      <w:r w:rsidR="00D11DC1">
        <w:t>wird</w:t>
      </w:r>
      <w:r>
        <w:t xml:space="preserve"> mit dem dadurch frei werdenden Anteil von 0,7 </w:t>
      </w:r>
      <w:r w:rsidRPr="00B923E5">
        <w:rPr>
          <w:rFonts w:eastAsia="Calibri"/>
        </w:rPr>
        <w:t xml:space="preserve">seiner Arbeitskraft </w:t>
      </w:r>
      <w:r w:rsidR="00CD294E">
        <w:rPr>
          <w:rFonts w:eastAsia="Calibri"/>
        </w:rPr>
        <w:t>der</w:t>
      </w:r>
      <w:r w:rsidRPr="00B923E5">
        <w:rPr>
          <w:rFonts w:eastAsia="Calibri"/>
        </w:rPr>
        <w:t xml:space="preserve"> 4. </w:t>
      </w:r>
      <w:r w:rsidR="0008462C" w:rsidRPr="00B923E5">
        <w:rPr>
          <w:rFonts w:eastAsia="Calibri"/>
        </w:rPr>
        <w:t>große</w:t>
      </w:r>
      <w:r w:rsidR="00CD294E">
        <w:rPr>
          <w:rFonts w:eastAsia="Calibri"/>
        </w:rPr>
        <w:t>n</w:t>
      </w:r>
      <w:r w:rsidR="0008462C" w:rsidRPr="00B923E5">
        <w:rPr>
          <w:rFonts w:eastAsia="Calibri"/>
        </w:rPr>
        <w:t xml:space="preserve"> </w:t>
      </w:r>
      <w:r w:rsidRPr="00B923E5">
        <w:rPr>
          <w:rFonts w:eastAsia="Calibri"/>
        </w:rPr>
        <w:t xml:space="preserve">Strafkammer </w:t>
      </w:r>
      <w:r w:rsidR="00CD294E">
        <w:rPr>
          <w:rFonts w:eastAsia="Calibri"/>
        </w:rPr>
        <w:t>zugewiesen</w:t>
      </w:r>
      <w:r w:rsidRPr="00B923E5">
        <w:rPr>
          <w:rFonts w:eastAsia="Calibri"/>
        </w:rPr>
        <w:t xml:space="preserve">, der er fortan mit </w:t>
      </w:r>
      <w:r w:rsidR="0008462C" w:rsidRPr="00B923E5">
        <w:rPr>
          <w:rFonts w:eastAsia="Calibri"/>
        </w:rPr>
        <w:t xml:space="preserve">voller </w:t>
      </w:r>
      <w:r w:rsidRPr="00B923E5">
        <w:rPr>
          <w:rFonts w:eastAsia="Calibri"/>
        </w:rPr>
        <w:t>Arbeitskraft angehört</w:t>
      </w:r>
      <w:r w:rsidR="00B40E22" w:rsidRPr="00B923E5">
        <w:rPr>
          <w:rFonts w:eastAsia="Calibri"/>
        </w:rPr>
        <w:t xml:space="preserve"> und deren Vorsitz er übernimmt</w:t>
      </w:r>
      <w:r w:rsidRPr="00B923E5">
        <w:rPr>
          <w:rFonts w:eastAsia="Calibri"/>
        </w:rPr>
        <w:t>.</w:t>
      </w:r>
    </w:p>
    <w:p w:rsidR="002113D8" w:rsidRPr="00B923E5" w:rsidRDefault="002113D8" w:rsidP="00B923E5">
      <w:pPr>
        <w:jc w:val="both"/>
        <w:rPr>
          <w:rFonts w:eastAsia="Calibri"/>
        </w:rPr>
      </w:pPr>
    </w:p>
    <w:p w:rsidR="00B923E5" w:rsidRPr="00B923E5" w:rsidRDefault="00B923E5" w:rsidP="00B923E5">
      <w:pPr>
        <w:jc w:val="both"/>
        <w:rPr>
          <w:rFonts w:eastAsia="Calibri"/>
        </w:rPr>
      </w:pPr>
      <w:r w:rsidRPr="00B923E5">
        <w:rPr>
          <w:rFonts w:eastAsia="Calibri"/>
        </w:rPr>
        <w:t xml:space="preserve">Vorsitzender Richter am Landgericht </w:t>
      </w:r>
      <w:r w:rsidRPr="00B923E5">
        <w:rPr>
          <w:rFonts w:eastAsia="Calibri"/>
          <w:b/>
        </w:rPr>
        <w:t>Glashörster</w:t>
      </w:r>
      <w:r w:rsidRPr="00B923E5">
        <w:rPr>
          <w:rFonts w:eastAsia="Calibri"/>
        </w:rPr>
        <w:t xml:space="preserve"> bleibt in dem Verfahren gegen Khalili (20 KLs 13/20) sowohl für die in als auch die außerhalb der </w:t>
      </w:r>
      <w:r w:rsidR="00DC7EDC">
        <w:rPr>
          <w:rFonts w:eastAsia="Calibri"/>
        </w:rPr>
        <w:t xml:space="preserve">laufenden </w:t>
      </w:r>
      <w:r w:rsidRPr="00B923E5">
        <w:rPr>
          <w:rFonts w:eastAsia="Calibri"/>
        </w:rPr>
        <w:t>Hauptverhandlung zu treffenden Entscheidungen zuständig.</w:t>
      </w:r>
    </w:p>
    <w:p w:rsidR="00B923E5" w:rsidRPr="00B923E5" w:rsidRDefault="00B923E5" w:rsidP="00B923E5">
      <w:pPr>
        <w:jc w:val="both"/>
        <w:rPr>
          <w:rFonts w:eastAsia="Calibri"/>
        </w:rPr>
      </w:pPr>
    </w:p>
    <w:p w:rsidR="002113D8" w:rsidRPr="00B923E5" w:rsidRDefault="002113D8" w:rsidP="00B923E5">
      <w:pPr>
        <w:jc w:val="both"/>
        <w:rPr>
          <w:rFonts w:eastAsia="Calibri"/>
        </w:rPr>
      </w:pPr>
      <w:r w:rsidRPr="00B923E5">
        <w:rPr>
          <w:rFonts w:eastAsia="Calibri"/>
        </w:rPr>
        <w:t>4.</w:t>
      </w:r>
    </w:p>
    <w:p w:rsidR="0008462C" w:rsidRDefault="002113D8" w:rsidP="00B923E5">
      <w:pPr>
        <w:jc w:val="both"/>
        <w:rPr>
          <w:rFonts w:eastAsia="Calibri"/>
        </w:rPr>
      </w:pPr>
      <w:r w:rsidRPr="00B923E5">
        <w:rPr>
          <w:rFonts w:eastAsia="Calibri"/>
        </w:rPr>
        <w:lastRenderedPageBreak/>
        <w:t xml:space="preserve">Richterin am Landgericht </w:t>
      </w:r>
      <w:r w:rsidRPr="00B923E5">
        <w:rPr>
          <w:rFonts w:eastAsia="Calibri"/>
          <w:b/>
        </w:rPr>
        <w:t>Willeke</w:t>
      </w:r>
      <w:r w:rsidRPr="00B923E5">
        <w:rPr>
          <w:rFonts w:eastAsia="Calibri"/>
        </w:rPr>
        <w:t xml:space="preserve"> </w:t>
      </w:r>
      <w:r w:rsidR="00CD294E">
        <w:rPr>
          <w:rFonts w:eastAsia="Calibri"/>
        </w:rPr>
        <w:t>wird</w:t>
      </w:r>
      <w:r w:rsidRPr="00B923E5">
        <w:rPr>
          <w:rFonts w:eastAsia="Calibri"/>
        </w:rPr>
        <w:t xml:space="preserve"> </w:t>
      </w:r>
      <w:r w:rsidR="00CD294E">
        <w:rPr>
          <w:rFonts w:eastAsia="Calibri"/>
        </w:rPr>
        <w:t>der</w:t>
      </w:r>
      <w:r w:rsidRPr="00B923E5">
        <w:rPr>
          <w:rFonts w:eastAsia="Calibri"/>
        </w:rPr>
        <w:t xml:space="preserve"> 20. </w:t>
      </w:r>
      <w:r w:rsidR="0008462C" w:rsidRPr="00B923E5">
        <w:rPr>
          <w:rFonts w:eastAsia="Calibri"/>
        </w:rPr>
        <w:t>große</w:t>
      </w:r>
      <w:r w:rsidR="00CD294E">
        <w:rPr>
          <w:rFonts w:eastAsia="Calibri"/>
        </w:rPr>
        <w:t>n</w:t>
      </w:r>
      <w:r w:rsidR="0008462C" w:rsidRPr="00B923E5">
        <w:rPr>
          <w:rFonts w:eastAsia="Calibri"/>
        </w:rPr>
        <w:t xml:space="preserve"> </w:t>
      </w:r>
      <w:r w:rsidRPr="00B923E5">
        <w:rPr>
          <w:rFonts w:eastAsia="Calibri"/>
        </w:rPr>
        <w:t xml:space="preserve">Strafkammer </w:t>
      </w:r>
      <w:r w:rsidR="00CD294E">
        <w:rPr>
          <w:rFonts w:eastAsia="Calibri"/>
        </w:rPr>
        <w:t>zugewiesen</w:t>
      </w:r>
      <w:r w:rsidRPr="00B923E5">
        <w:rPr>
          <w:rFonts w:eastAsia="Calibri"/>
        </w:rPr>
        <w:t xml:space="preserve">, deren </w:t>
      </w:r>
      <w:r w:rsidR="00B40E22" w:rsidRPr="00B923E5">
        <w:rPr>
          <w:rFonts w:eastAsia="Calibri"/>
        </w:rPr>
        <w:t>stellvertretenden Vorsitz sie übernimmt.</w:t>
      </w:r>
      <w:r w:rsidR="00DE1AD4" w:rsidRPr="00B923E5">
        <w:rPr>
          <w:rFonts w:eastAsia="Calibri"/>
        </w:rPr>
        <w:t xml:space="preserve"> </w:t>
      </w:r>
    </w:p>
    <w:p w:rsidR="00B923E5" w:rsidRPr="00B923E5" w:rsidRDefault="00B923E5" w:rsidP="00B923E5">
      <w:pPr>
        <w:jc w:val="both"/>
        <w:rPr>
          <w:rFonts w:eastAsia="Calibri"/>
        </w:rPr>
      </w:pPr>
    </w:p>
    <w:p w:rsidR="002113D8" w:rsidRPr="00B923E5" w:rsidRDefault="00DE1AD4" w:rsidP="00B923E5">
      <w:pPr>
        <w:jc w:val="both"/>
        <w:rPr>
          <w:rFonts w:eastAsia="Calibri"/>
        </w:rPr>
      </w:pPr>
      <w:r w:rsidRPr="00B923E5">
        <w:rPr>
          <w:rFonts w:eastAsia="Calibri"/>
        </w:rPr>
        <w:t xml:space="preserve">Richterin am Landgericht </w:t>
      </w:r>
      <w:r w:rsidRPr="00B923E5">
        <w:rPr>
          <w:rFonts w:eastAsia="Calibri"/>
          <w:b/>
        </w:rPr>
        <w:t>Brock</w:t>
      </w:r>
      <w:r w:rsidRPr="00B923E5">
        <w:rPr>
          <w:rFonts w:eastAsia="Calibri"/>
        </w:rPr>
        <w:t xml:space="preserve"> übernimmt den weiteren stellvertretenden Vorsitz in der 20. </w:t>
      </w:r>
      <w:r w:rsidR="0008462C" w:rsidRPr="00B923E5">
        <w:rPr>
          <w:rFonts w:eastAsia="Calibri"/>
        </w:rPr>
        <w:t xml:space="preserve">großen </w:t>
      </w:r>
      <w:r w:rsidRPr="00B923E5">
        <w:rPr>
          <w:rFonts w:eastAsia="Calibri"/>
        </w:rPr>
        <w:t>Strafkammer.</w:t>
      </w:r>
    </w:p>
    <w:p w:rsidR="00B40E22" w:rsidRDefault="00B40E22" w:rsidP="0070593F">
      <w:pPr>
        <w:spacing w:after="120"/>
        <w:jc w:val="both"/>
      </w:pPr>
    </w:p>
    <w:p w:rsidR="00B40E22" w:rsidRDefault="00B40E22" w:rsidP="0070593F">
      <w:pPr>
        <w:spacing w:after="120"/>
        <w:jc w:val="both"/>
      </w:pPr>
      <w:r>
        <w:t>5.</w:t>
      </w:r>
    </w:p>
    <w:p w:rsidR="00B40E22" w:rsidRDefault="00B40E22" w:rsidP="0070593F">
      <w:pPr>
        <w:spacing w:after="120"/>
        <w:jc w:val="both"/>
      </w:pPr>
      <w:r>
        <w:t xml:space="preserve">Richterin am Landgericht </w:t>
      </w:r>
      <w:r>
        <w:rPr>
          <w:b/>
        </w:rPr>
        <w:t>Dr. Börger-Fischer</w:t>
      </w:r>
      <w:r w:rsidR="00DE1AD4">
        <w:t xml:space="preserve"> </w:t>
      </w:r>
      <w:r w:rsidR="00CD294E">
        <w:t>wird der</w:t>
      </w:r>
      <w:r w:rsidR="00DE1AD4">
        <w:t xml:space="preserve"> 21. Zivilkammer</w:t>
      </w:r>
      <w:r w:rsidR="00CD294E">
        <w:t xml:space="preserve"> zugewiesen.</w:t>
      </w:r>
    </w:p>
    <w:p w:rsidR="00B40E22" w:rsidRDefault="00B40E22" w:rsidP="0070593F">
      <w:pPr>
        <w:spacing w:after="120"/>
        <w:jc w:val="both"/>
      </w:pPr>
    </w:p>
    <w:p w:rsidR="00B40E22" w:rsidRDefault="00B40E22" w:rsidP="0070593F">
      <w:pPr>
        <w:spacing w:after="120"/>
        <w:jc w:val="both"/>
      </w:pPr>
      <w:r>
        <w:t>6.</w:t>
      </w:r>
    </w:p>
    <w:p w:rsidR="00B40E22" w:rsidRDefault="00B40E22" w:rsidP="00B923E5">
      <w:pPr>
        <w:jc w:val="both"/>
        <w:rPr>
          <w:rFonts w:eastAsia="Calibri"/>
        </w:rPr>
      </w:pPr>
      <w:r>
        <w:t xml:space="preserve">Vorsitzender Richter am Landgericht </w:t>
      </w:r>
      <w:r>
        <w:rPr>
          <w:b/>
        </w:rPr>
        <w:t>Eisenberg</w:t>
      </w:r>
      <w:r>
        <w:t xml:space="preserve"> scheidet aus der 21. Zivilkammer aus. </w:t>
      </w:r>
      <w:r w:rsidR="00E77DEA">
        <w:t xml:space="preserve">Mit </w:t>
      </w:r>
      <w:r w:rsidR="00C07367">
        <w:t>einem Anteil von 0,1 seiner d</w:t>
      </w:r>
      <w:r w:rsidR="00E77DEA">
        <w:t>adurch frei werdenden</w:t>
      </w:r>
      <w:r w:rsidR="00C07367">
        <w:t xml:space="preserve"> Arbeitskraft </w:t>
      </w:r>
      <w:r w:rsidR="00CD294E">
        <w:t xml:space="preserve">wird </w:t>
      </w:r>
      <w:r w:rsidR="00C07367">
        <w:t xml:space="preserve">er </w:t>
      </w:r>
      <w:r w:rsidR="00CD294E">
        <w:t xml:space="preserve">der </w:t>
      </w:r>
      <w:r w:rsidR="00C07367" w:rsidRPr="00B923E5">
        <w:rPr>
          <w:rFonts w:eastAsia="Calibri"/>
        </w:rPr>
        <w:t xml:space="preserve">24. Zivilkammer </w:t>
      </w:r>
      <w:r w:rsidR="00CD294E">
        <w:rPr>
          <w:rFonts w:eastAsia="Calibri"/>
        </w:rPr>
        <w:t>zugewiesen</w:t>
      </w:r>
      <w:r w:rsidR="00C07367" w:rsidRPr="00B923E5">
        <w:rPr>
          <w:rFonts w:eastAsia="Calibri"/>
        </w:rPr>
        <w:t xml:space="preserve">, deren Vorsitz er übernimmt. </w:t>
      </w:r>
    </w:p>
    <w:p w:rsidR="00B923E5" w:rsidRPr="00B923E5" w:rsidRDefault="00B923E5" w:rsidP="00B923E5">
      <w:pPr>
        <w:jc w:val="both"/>
        <w:rPr>
          <w:rFonts w:eastAsia="Calibri"/>
        </w:rPr>
      </w:pPr>
    </w:p>
    <w:p w:rsidR="00B40E22" w:rsidRDefault="00B40E22" w:rsidP="00B40E22">
      <w:pPr>
        <w:jc w:val="both"/>
        <w:rPr>
          <w:rFonts w:eastAsia="Calibri"/>
        </w:rPr>
      </w:pPr>
      <w:r w:rsidRPr="00B40E22">
        <w:rPr>
          <w:rFonts w:eastAsia="Calibri"/>
        </w:rPr>
        <w:t xml:space="preserve">Das Präsidium nimmt nach Anhörung gem. § 21e Abs. 6 GVG zustimmend zur Kenntnis, dass Vorsitzender Richter am Landgericht </w:t>
      </w:r>
      <w:r w:rsidRPr="00B923E5">
        <w:rPr>
          <w:rFonts w:eastAsia="Calibri"/>
          <w:b/>
        </w:rPr>
        <w:t>Eisenberg</w:t>
      </w:r>
      <w:r w:rsidRPr="00B40E22">
        <w:rPr>
          <w:rFonts w:eastAsia="Calibri"/>
        </w:rPr>
        <w:t xml:space="preserve"> </w:t>
      </w:r>
      <w:r w:rsidR="00C07367">
        <w:rPr>
          <w:rFonts w:eastAsia="Calibri"/>
        </w:rPr>
        <w:t xml:space="preserve">mit dem dadurch frei werdenden weiteren Anteil von 0,1 seiner Arbeitskraft wieder </w:t>
      </w:r>
      <w:r w:rsidRPr="00B40E22">
        <w:rPr>
          <w:rFonts w:eastAsia="Calibri"/>
        </w:rPr>
        <w:t>für Aufgaben der Just</w:t>
      </w:r>
      <w:r>
        <w:rPr>
          <w:rFonts w:eastAsia="Calibri"/>
        </w:rPr>
        <w:t>izverwaltung freigestellt wird</w:t>
      </w:r>
      <w:r w:rsidRPr="00B40E22">
        <w:rPr>
          <w:rFonts w:eastAsia="Calibri"/>
        </w:rPr>
        <w:t>.</w:t>
      </w:r>
    </w:p>
    <w:p w:rsidR="00B40E22" w:rsidRDefault="00B40E22" w:rsidP="00B40E22">
      <w:pPr>
        <w:jc w:val="both"/>
        <w:rPr>
          <w:rFonts w:eastAsia="Calibri"/>
        </w:rPr>
      </w:pPr>
    </w:p>
    <w:p w:rsidR="00B40E22" w:rsidRDefault="00B40E22" w:rsidP="00B40E22">
      <w:pPr>
        <w:jc w:val="both"/>
        <w:rPr>
          <w:rFonts w:eastAsia="Calibri"/>
        </w:rPr>
      </w:pPr>
      <w:r>
        <w:rPr>
          <w:rFonts w:eastAsia="Calibri"/>
        </w:rPr>
        <w:t>7.</w:t>
      </w:r>
    </w:p>
    <w:p w:rsidR="00B40E22" w:rsidRDefault="00E77DEA" w:rsidP="00B40E22">
      <w:pPr>
        <w:jc w:val="both"/>
        <w:rPr>
          <w:rFonts w:eastAsia="Calibri"/>
        </w:rPr>
      </w:pPr>
      <w:r>
        <w:rPr>
          <w:rFonts w:eastAsia="Calibri"/>
        </w:rPr>
        <w:t xml:space="preserve">Vorsitzender Richter am Landgericht </w:t>
      </w:r>
      <w:r>
        <w:rPr>
          <w:rFonts w:eastAsia="Calibri"/>
          <w:b/>
        </w:rPr>
        <w:t>Dr. Misera</w:t>
      </w:r>
      <w:r w:rsidR="00DE1AD4">
        <w:rPr>
          <w:rFonts w:eastAsia="Calibri"/>
        </w:rPr>
        <w:t xml:space="preserve"> scheidet</w:t>
      </w:r>
      <w:r w:rsidR="00410D88">
        <w:rPr>
          <w:rFonts w:eastAsia="Calibri"/>
        </w:rPr>
        <w:t xml:space="preserve"> aus der 24. Zivilkammer aus. Ferner scheidet er mit einem Anteil von 0,1 seiner Arbeitskraft aus der 22. </w:t>
      </w:r>
      <w:r w:rsidR="00315F30">
        <w:rPr>
          <w:rFonts w:eastAsia="Calibri"/>
        </w:rPr>
        <w:t xml:space="preserve">Zivilkammer aus. Mit dem </w:t>
      </w:r>
      <w:r w:rsidR="004B73A8">
        <w:rPr>
          <w:rFonts w:eastAsia="Calibri"/>
        </w:rPr>
        <w:t>da</w:t>
      </w:r>
      <w:r w:rsidR="00315F30">
        <w:rPr>
          <w:rFonts w:eastAsia="Calibri"/>
        </w:rPr>
        <w:t xml:space="preserve">durch </w:t>
      </w:r>
      <w:r w:rsidR="00410D88">
        <w:rPr>
          <w:rFonts w:eastAsia="Calibri"/>
        </w:rPr>
        <w:t>frei werden</w:t>
      </w:r>
      <w:r w:rsidR="004B73A8">
        <w:rPr>
          <w:rFonts w:eastAsia="Calibri"/>
        </w:rPr>
        <w:t>den</w:t>
      </w:r>
      <w:r w:rsidR="00410D88">
        <w:rPr>
          <w:rFonts w:eastAsia="Calibri"/>
        </w:rPr>
        <w:t xml:space="preserve"> Anteil von 0,2 seiner Arbeitskraft </w:t>
      </w:r>
      <w:r w:rsidR="00CD294E">
        <w:rPr>
          <w:rFonts w:eastAsia="Calibri"/>
        </w:rPr>
        <w:t>wird</w:t>
      </w:r>
      <w:r w:rsidR="00410D88">
        <w:rPr>
          <w:rFonts w:eastAsia="Calibri"/>
        </w:rPr>
        <w:t xml:space="preserve"> er </w:t>
      </w:r>
      <w:r w:rsidR="00CD294E">
        <w:rPr>
          <w:rFonts w:eastAsia="Calibri"/>
        </w:rPr>
        <w:t>der</w:t>
      </w:r>
      <w:r w:rsidR="00410D88">
        <w:rPr>
          <w:rFonts w:eastAsia="Calibri"/>
        </w:rPr>
        <w:t xml:space="preserve"> 21. Zivilkammer </w:t>
      </w:r>
      <w:r w:rsidR="00CD294E">
        <w:rPr>
          <w:rFonts w:eastAsia="Calibri"/>
        </w:rPr>
        <w:t>zugewiesen</w:t>
      </w:r>
      <w:r w:rsidR="00410D88">
        <w:rPr>
          <w:rFonts w:eastAsia="Calibri"/>
        </w:rPr>
        <w:t>, deren Vorsitz er übernimmt.</w:t>
      </w:r>
    </w:p>
    <w:p w:rsidR="0008462C" w:rsidRDefault="0008462C" w:rsidP="00B40E22">
      <w:pPr>
        <w:jc w:val="both"/>
        <w:rPr>
          <w:rFonts w:eastAsia="Calibri"/>
        </w:rPr>
      </w:pPr>
    </w:p>
    <w:p w:rsidR="0008462C" w:rsidRDefault="0008462C" w:rsidP="0008462C">
      <w:pPr>
        <w:jc w:val="both"/>
        <w:rPr>
          <w:rFonts w:eastAsia="Calibri"/>
        </w:rPr>
      </w:pPr>
      <w:r>
        <w:rPr>
          <w:rFonts w:eastAsia="Calibri"/>
        </w:rPr>
        <w:t>Die für die 24. Zivilkammer (4. Kammer für Handelssachen) eingehenden Verfahren werden ab diesem Zeitpunkt nicht mehr als Eingänge zugunsten der 22. Zivilkammer in den Turnuskreisen Berufung 1 (im Falle einer Berufung) und Beschwerde 1 (im Falle einer Beschwerde) berücksichtigt.</w:t>
      </w:r>
    </w:p>
    <w:p w:rsidR="0008462C" w:rsidRPr="00B40E22" w:rsidRDefault="0008462C" w:rsidP="00B40E22">
      <w:pPr>
        <w:jc w:val="both"/>
        <w:rPr>
          <w:rFonts w:eastAsia="Calibri"/>
        </w:rPr>
      </w:pPr>
    </w:p>
    <w:p w:rsidR="0070593F" w:rsidRPr="00DC7EDC" w:rsidRDefault="00DC7EDC" w:rsidP="00DC7EDC">
      <w:pPr>
        <w:spacing w:after="240"/>
        <w:jc w:val="center"/>
        <w:rPr>
          <w:b/>
        </w:rPr>
      </w:pPr>
      <w:r w:rsidRPr="00DC7EDC">
        <w:rPr>
          <w:b/>
        </w:rPr>
        <w:t>B.</w:t>
      </w:r>
    </w:p>
    <w:p w:rsidR="00DC7EDC" w:rsidRDefault="00DC7EDC" w:rsidP="00DC7EDC">
      <w:pPr>
        <w:spacing w:line="319" w:lineRule="auto"/>
        <w:jc w:val="both"/>
      </w:pPr>
      <w:r>
        <w:t>I.</w:t>
      </w:r>
    </w:p>
    <w:p w:rsidR="00DC7EDC" w:rsidRPr="00DC7EDC" w:rsidRDefault="00DC7EDC" w:rsidP="00DC7EDC">
      <w:pPr>
        <w:jc w:val="both"/>
        <w:rPr>
          <w:rFonts w:eastAsia="Calibri"/>
        </w:rPr>
      </w:pPr>
      <w:r w:rsidRPr="00DC7EDC">
        <w:rPr>
          <w:rFonts w:eastAsia="Calibri"/>
        </w:rPr>
        <w:lastRenderedPageBreak/>
        <w:t>Im Hinblick auf die unvorhergesehene übermäßige Belastung der 2. Zivilkammer übernehmen aus deren Bestand folgende Kammern folgende der bis zum 23.06.2020 eingegangenen noch anhängigen und nicht austragungsreifen, der 2. Zivilkammer unter B.I.1.b) (2) des Geschäftsverteilungsplans für das Landgericht Bielefeld für das Jahr 2020 zugewiesenen O-Verfahren (andere Rechtsstreitigkeiten im ersten Rechtszug aus dem Amtsgerichtsbezirk Bielefeld mit den Anfangsbuchstaben D, I, J, L, P, Q, R, U, W, X, Y und Z des Beklagtennamens und aus dem Amtsgerichtsbezirk Rahden, jeweils soweit nicht Spezialzuständigkeiten nach Sachgebieten bestehen), für die am Stichtag 23.06.2020 kein noch ausstehender Verhandlungs- oder Verkündungstermin anberaumt war:</w:t>
      </w:r>
    </w:p>
    <w:p w:rsidR="00DC7EDC" w:rsidRPr="00500D88" w:rsidRDefault="00DC7EDC" w:rsidP="00DC7EDC">
      <w:pPr>
        <w:spacing w:line="319" w:lineRule="auto"/>
        <w:jc w:val="both"/>
      </w:pPr>
    </w:p>
    <w:p w:rsidR="00DC7EDC" w:rsidRDefault="00DC7EDC" w:rsidP="00DC7EDC">
      <w:pPr>
        <w:pStyle w:val="Listenabsatz"/>
        <w:numPr>
          <w:ilvl w:val="0"/>
          <w:numId w:val="1"/>
        </w:numPr>
        <w:spacing w:after="0" w:line="360" w:lineRule="auto"/>
        <w:jc w:val="both"/>
        <w:rPr>
          <w:rFonts w:ascii="Arial" w:hAnsi="Arial" w:cs="Arial"/>
          <w:sz w:val="24"/>
          <w:szCs w:val="24"/>
        </w:rPr>
      </w:pPr>
      <w:r>
        <w:rPr>
          <w:rFonts w:ascii="Arial" w:hAnsi="Arial" w:cs="Arial"/>
          <w:sz w:val="24"/>
          <w:szCs w:val="24"/>
        </w:rPr>
        <w:t xml:space="preserve">Von den 80 jüngsten der Verfahren </w:t>
      </w:r>
      <w:r w:rsidRPr="00CA79CA">
        <w:rPr>
          <w:rFonts w:ascii="Arial" w:hAnsi="Arial" w:cs="Arial"/>
          <w:sz w:val="24"/>
          <w:szCs w:val="24"/>
        </w:rPr>
        <w:t xml:space="preserve">mit den Endziffern </w:t>
      </w:r>
    </w:p>
    <w:p w:rsidR="00DC7EDC" w:rsidRDefault="00DC7EDC" w:rsidP="00DC7EDC">
      <w:pPr>
        <w:pStyle w:val="Listenabsatz"/>
        <w:spacing w:after="0" w:line="360" w:lineRule="auto"/>
        <w:ind w:left="360"/>
        <w:jc w:val="both"/>
        <w:rPr>
          <w:rFonts w:ascii="Arial" w:hAnsi="Arial" w:cs="Arial"/>
          <w:sz w:val="24"/>
          <w:szCs w:val="24"/>
        </w:rPr>
      </w:pPr>
    </w:p>
    <w:p w:rsidR="00DC7EDC" w:rsidRDefault="00DC7EDC" w:rsidP="00DC7EDC">
      <w:pPr>
        <w:pStyle w:val="Listenabsatz"/>
        <w:spacing w:after="0" w:line="360" w:lineRule="auto"/>
        <w:ind w:left="360"/>
        <w:jc w:val="center"/>
        <w:rPr>
          <w:rFonts w:ascii="Arial" w:hAnsi="Arial" w:cs="Arial"/>
          <w:sz w:val="24"/>
          <w:szCs w:val="24"/>
        </w:rPr>
      </w:pPr>
      <w:r>
        <w:rPr>
          <w:rFonts w:ascii="Arial" w:hAnsi="Arial" w:cs="Arial"/>
          <w:sz w:val="24"/>
          <w:szCs w:val="24"/>
        </w:rPr>
        <w:t>2, 3, 4, 55, 65, 75, 85, 95, 89 und 99</w:t>
      </w:r>
    </w:p>
    <w:p w:rsidR="00DC7EDC" w:rsidRDefault="00DC7EDC" w:rsidP="00DC7EDC">
      <w:pPr>
        <w:pStyle w:val="Listenabsatz"/>
        <w:spacing w:after="0" w:line="360" w:lineRule="auto"/>
        <w:ind w:left="360"/>
        <w:jc w:val="both"/>
        <w:rPr>
          <w:rFonts w:ascii="Arial" w:hAnsi="Arial" w:cs="Arial"/>
          <w:sz w:val="24"/>
          <w:szCs w:val="24"/>
        </w:rPr>
      </w:pPr>
    </w:p>
    <w:p w:rsidR="00DC7EDC" w:rsidRDefault="00DC7EDC" w:rsidP="00DC7EDC">
      <w:pPr>
        <w:pStyle w:val="Listenabsatz"/>
        <w:spacing w:after="0" w:line="360" w:lineRule="auto"/>
        <w:ind w:left="360"/>
        <w:jc w:val="both"/>
        <w:rPr>
          <w:rFonts w:ascii="Arial" w:hAnsi="Arial" w:cs="Arial"/>
          <w:sz w:val="24"/>
          <w:szCs w:val="24"/>
        </w:rPr>
      </w:pPr>
      <w:r>
        <w:rPr>
          <w:rFonts w:ascii="Arial" w:hAnsi="Arial" w:cs="Arial"/>
          <w:sz w:val="24"/>
          <w:szCs w:val="24"/>
        </w:rPr>
        <w:t xml:space="preserve">und den 20 jüngsten der Verfahren mit den Endziffern </w:t>
      </w:r>
    </w:p>
    <w:p w:rsidR="00DC7EDC" w:rsidRDefault="00DC7EDC" w:rsidP="00DC7EDC">
      <w:pPr>
        <w:pStyle w:val="Listenabsatz"/>
        <w:spacing w:after="0" w:line="360" w:lineRule="auto"/>
        <w:ind w:left="360"/>
        <w:jc w:val="both"/>
        <w:rPr>
          <w:rFonts w:ascii="Arial" w:hAnsi="Arial" w:cs="Arial"/>
          <w:sz w:val="24"/>
          <w:szCs w:val="24"/>
        </w:rPr>
      </w:pPr>
    </w:p>
    <w:p w:rsidR="00DC7EDC" w:rsidRDefault="00DC7EDC" w:rsidP="00DC7EDC">
      <w:pPr>
        <w:pStyle w:val="Listenabsatz"/>
        <w:spacing w:after="0" w:line="360" w:lineRule="auto"/>
        <w:ind w:left="360"/>
        <w:jc w:val="center"/>
        <w:rPr>
          <w:rFonts w:ascii="Arial" w:hAnsi="Arial" w:cs="Arial"/>
          <w:sz w:val="24"/>
          <w:szCs w:val="24"/>
        </w:rPr>
      </w:pPr>
      <w:r>
        <w:rPr>
          <w:rFonts w:ascii="Arial" w:hAnsi="Arial" w:cs="Arial"/>
          <w:sz w:val="24"/>
          <w:szCs w:val="24"/>
        </w:rPr>
        <w:t>6, 7, 8, 09, 19, 29, 39, 49, 59, 69 und 79</w:t>
      </w:r>
    </w:p>
    <w:p w:rsidR="00DC7EDC" w:rsidRDefault="00DC7EDC" w:rsidP="00DC7EDC">
      <w:pPr>
        <w:pStyle w:val="Listenabsatz"/>
        <w:spacing w:after="0" w:line="360" w:lineRule="auto"/>
        <w:ind w:left="360"/>
        <w:jc w:val="both"/>
        <w:rPr>
          <w:rFonts w:ascii="Arial" w:hAnsi="Arial" w:cs="Arial"/>
          <w:sz w:val="24"/>
          <w:szCs w:val="24"/>
        </w:rPr>
      </w:pPr>
    </w:p>
    <w:p w:rsidR="00DC7EDC" w:rsidRDefault="00DC7EDC" w:rsidP="00DC7EDC">
      <w:pPr>
        <w:pStyle w:val="Listenabsatz"/>
        <w:spacing w:after="0" w:line="360" w:lineRule="auto"/>
        <w:ind w:left="360"/>
        <w:jc w:val="both"/>
        <w:rPr>
          <w:rFonts w:ascii="Arial" w:hAnsi="Arial" w:cs="Arial"/>
          <w:sz w:val="24"/>
          <w:szCs w:val="24"/>
        </w:rPr>
      </w:pPr>
      <w:r>
        <w:rPr>
          <w:rFonts w:ascii="Arial" w:hAnsi="Arial" w:cs="Arial"/>
          <w:sz w:val="24"/>
          <w:szCs w:val="24"/>
        </w:rPr>
        <w:t>übernehmen</w:t>
      </w:r>
    </w:p>
    <w:p w:rsidR="00DC7EDC" w:rsidRPr="001179C0" w:rsidRDefault="00DC7EDC" w:rsidP="00DC7EDC">
      <w:pPr>
        <w:pStyle w:val="Listenabsatz"/>
        <w:spacing w:after="0" w:line="360" w:lineRule="auto"/>
        <w:ind w:left="360"/>
        <w:jc w:val="both"/>
        <w:rPr>
          <w:rFonts w:ascii="Arial" w:hAnsi="Arial" w:cs="Arial"/>
          <w:sz w:val="24"/>
          <w:szCs w:val="24"/>
        </w:rPr>
      </w:pPr>
    </w:p>
    <w:p w:rsidR="00DC7EDC" w:rsidRPr="00CA79CA" w:rsidRDefault="00DC7EDC" w:rsidP="00DC7EDC">
      <w:pPr>
        <w:pStyle w:val="Listenabsatz"/>
        <w:numPr>
          <w:ilvl w:val="0"/>
          <w:numId w:val="2"/>
        </w:numPr>
        <w:spacing w:after="0" w:line="360" w:lineRule="auto"/>
        <w:ind w:left="714" w:hanging="357"/>
        <w:contextualSpacing w:val="0"/>
        <w:jc w:val="both"/>
        <w:rPr>
          <w:rFonts w:ascii="Arial" w:hAnsi="Arial" w:cs="Arial"/>
          <w:sz w:val="24"/>
          <w:szCs w:val="24"/>
        </w:rPr>
      </w:pPr>
      <w:r>
        <w:rPr>
          <w:rFonts w:ascii="Arial" w:hAnsi="Arial" w:cs="Arial"/>
          <w:sz w:val="24"/>
          <w:szCs w:val="24"/>
        </w:rPr>
        <w:t>die 19. Zivilkammer insgesamt 12</w:t>
      </w:r>
    </w:p>
    <w:p w:rsidR="00DC7EDC" w:rsidRDefault="00DC7EDC" w:rsidP="00DC7EDC">
      <w:pPr>
        <w:pStyle w:val="Listenabsatz"/>
        <w:numPr>
          <w:ilvl w:val="0"/>
          <w:numId w:val="2"/>
        </w:numPr>
        <w:spacing w:after="0" w:line="360" w:lineRule="auto"/>
        <w:jc w:val="both"/>
        <w:rPr>
          <w:rFonts w:ascii="Arial" w:hAnsi="Arial" w:cs="Arial"/>
          <w:sz w:val="24"/>
          <w:szCs w:val="24"/>
        </w:rPr>
      </w:pPr>
      <w:r>
        <w:rPr>
          <w:rFonts w:ascii="Arial" w:hAnsi="Arial" w:cs="Arial"/>
          <w:sz w:val="24"/>
          <w:szCs w:val="24"/>
        </w:rPr>
        <w:t>die 18. Zivilkammer insgesamt 8</w:t>
      </w:r>
    </w:p>
    <w:p w:rsidR="00DC7EDC" w:rsidRDefault="00DC7EDC" w:rsidP="00DC7EDC">
      <w:pPr>
        <w:pStyle w:val="Listenabsatz"/>
        <w:numPr>
          <w:ilvl w:val="0"/>
          <w:numId w:val="2"/>
        </w:numPr>
        <w:spacing w:after="0" w:line="360" w:lineRule="auto"/>
        <w:jc w:val="both"/>
        <w:rPr>
          <w:rFonts w:ascii="Arial" w:hAnsi="Arial" w:cs="Arial"/>
          <w:sz w:val="24"/>
          <w:szCs w:val="24"/>
        </w:rPr>
      </w:pPr>
      <w:r>
        <w:rPr>
          <w:rFonts w:ascii="Arial" w:hAnsi="Arial" w:cs="Arial"/>
          <w:sz w:val="24"/>
          <w:szCs w:val="24"/>
        </w:rPr>
        <w:t>die 9. Zivilkammer insgesamt 10</w:t>
      </w:r>
    </w:p>
    <w:p w:rsidR="00DC7EDC" w:rsidRDefault="00DC7EDC" w:rsidP="00DC7EDC">
      <w:pPr>
        <w:pStyle w:val="Listenabsatz"/>
        <w:numPr>
          <w:ilvl w:val="0"/>
          <w:numId w:val="2"/>
        </w:numPr>
        <w:spacing w:after="0" w:line="360" w:lineRule="auto"/>
        <w:jc w:val="both"/>
        <w:rPr>
          <w:rFonts w:ascii="Arial" w:hAnsi="Arial" w:cs="Arial"/>
          <w:sz w:val="24"/>
          <w:szCs w:val="24"/>
        </w:rPr>
      </w:pPr>
      <w:r>
        <w:rPr>
          <w:rFonts w:ascii="Arial" w:hAnsi="Arial" w:cs="Arial"/>
          <w:sz w:val="24"/>
          <w:szCs w:val="24"/>
        </w:rPr>
        <w:t>die 8. Zivilkammer insgesamt 9</w:t>
      </w:r>
    </w:p>
    <w:p w:rsidR="00DC7EDC" w:rsidRDefault="00DC7EDC" w:rsidP="00DC7EDC">
      <w:pPr>
        <w:pStyle w:val="Listenabsatz"/>
        <w:numPr>
          <w:ilvl w:val="0"/>
          <w:numId w:val="2"/>
        </w:numPr>
        <w:spacing w:after="0" w:line="360" w:lineRule="auto"/>
        <w:jc w:val="both"/>
        <w:rPr>
          <w:rFonts w:ascii="Arial" w:hAnsi="Arial" w:cs="Arial"/>
          <w:sz w:val="24"/>
          <w:szCs w:val="24"/>
        </w:rPr>
      </w:pPr>
      <w:r>
        <w:rPr>
          <w:rFonts w:ascii="Arial" w:hAnsi="Arial" w:cs="Arial"/>
          <w:sz w:val="24"/>
          <w:szCs w:val="24"/>
        </w:rPr>
        <w:t>die 7. Zivilkammer insgesamt 5</w:t>
      </w:r>
    </w:p>
    <w:p w:rsidR="00DC7EDC" w:rsidRDefault="00DC7EDC" w:rsidP="00DC7EDC">
      <w:pPr>
        <w:pStyle w:val="Listenabsatz"/>
        <w:numPr>
          <w:ilvl w:val="0"/>
          <w:numId w:val="2"/>
        </w:numPr>
        <w:spacing w:after="0" w:line="360" w:lineRule="auto"/>
        <w:jc w:val="both"/>
        <w:rPr>
          <w:rFonts w:ascii="Arial" w:hAnsi="Arial" w:cs="Arial"/>
          <w:sz w:val="24"/>
          <w:szCs w:val="24"/>
        </w:rPr>
      </w:pPr>
      <w:r>
        <w:rPr>
          <w:rFonts w:ascii="Arial" w:hAnsi="Arial" w:cs="Arial"/>
          <w:sz w:val="24"/>
          <w:szCs w:val="24"/>
        </w:rPr>
        <w:t>die 6. Zivilkammer insgesamt 12</w:t>
      </w:r>
    </w:p>
    <w:p w:rsidR="00DC7EDC" w:rsidRDefault="00DC7EDC" w:rsidP="00DC7EDC">
      <w:pPr>
        <w:pStyle w:val="Listenabsatz"/>
        <w:numPr>
          <w:ilvl w:val="0"/>
          <w:numId w:val="2"/>
        </w:numPr>
        <w:spacing w:after="0" w:line="360" w:lineRule="auto"/>
        <w:ind w:left="714" w:hanging="357"/>
        <w:contextualSpacing w:val="0"/>
        <w:jc w:val="both"/>
        <w:rPr>
          <w:rFonts w:ascii="Arial" w:hAnsi="Arial" w:cs="Arial"/>
          <w:sz w:val="24"/>
          <w:szCs w:val="24"/>
        </w:rPr>
      </w:pPr>
      <w:r>
        <w:rPr>
          <w:rFonts w:ascii="Arial" w:hAnsi="Arial" w:cs="Arial"/>
          <w:sz w:val="24"/>
          <w:szCs w:val="24"/>
        </w:rPr>
        <w:t>die 5. Zivilkammer insgesamt 9</w:t>
      </w:r>
    </w:p>
    <w:p w:rsidR="00DC7EDC" w:rsidRDefault="00DC7EDC" w:rsidP="00DC7EDC">
      <w:pPr>
        <w:pStyle w:val="Listenabsatz"/>
        <w:numPr>
          <w:ilvl w:val="0"/>
          <w:numId w:val="2"/>
        </w:numPr>
        <w:spacing w:after="0" w:line="360" w:lineRule="auto"/>
        <w:ind w:left="714" w:hanging="357"/>
        <w:contextualSpacing w:val="0"/>
        <w:jc w:val="both"/>
        <w:rPr>
          <w:rFonts w:ascii="Arial" w:hAnsi="Arial" w:cs="Arial"/>
          <w:sz w:val="24"/>
          <w:szCs w:val="24"/>
        </w:rPr>
      </w:pPr>
      <w:r>
        <w:rPr>
          <w:rFonts w:ascii="Arial" w:hAnsi="Arial" w:cs="Arial"/>
          <w:sz w:val="24"/>
          <w:szCs w:val="24"/>
        </w:rPr>
        <w:t>die 4. Zivilkammer insgesamt 15</w:t>
      </w:r>
    </w:p>
    <w:p w:rsidR="00DC7EDC" w:rsidRDefault="00DC7EDC" w:rsidP="00DC7EDC">
      <w:pPr>
        <w:pStyle w:val="Listenabsatz"/>
        <w:numPr>
          <w:ilvl w:val="0"/>
          <w:numId w:val="2"/>
        </w:numPr>
        <w:spacing w:after="0" w:line="360" w:lineRule="auto"/>
        <w:ind w:left="714" w:hanging="357"/>
        <w:contextualSpacing w:val="0"/>
        <w:jc w:val="both"/>
        <w:rPr>
          <w:rFonts w:ascii="Arial" w:hAnsi="Arial" w:cs="Arial"/>
          <w:sz w:val="24"/>
          <w:szCs w:val="24"/>
        </w:rPr>
      </w:pPr>
      <w:r>
        <w:rPr>
          <w:rFonts w:ascii="Arial" w:hAnsi="Arial" w:cs="Arial"/>
          <w:sz w:val="24"/>
          <w:szCs w:val="24"/>
        </w:rPr>
        <w:t>die 3. Zivilkammer insgesamt 12</w:t>
      </w:r>
    </w:p>
    <w:p w:rsidR="00DC7EDC" w:rsidRDefault="00DC7EDC" w:rsidP="00DC7EDC">
      <w:pPr>
        <w:pStyle w:val="Listenabsatz"/>
        <w:numPr>
          <w:ilvl w:val="0"/>
          <w:numId w:val="2"/>
        </w:numPr>
        <w:spacing w:after="0" w:line="360" w:lineRule="auto"/>
        <w:ind w:left="714" w:hanging="357"/>
        <w:contextualSpacing w:val="0"/>
        <w:jc w:val="both"/>
        <w:rPr>
          <w:rFonts w:ascii="Arial" w:hAnsi="Arial" w:cs="Arial"/>
          <w:sz w:val="24"/>
          <w:szCs w:val="24"/>
        </w:rPr>
      </w:pPr>
      <w:r>
        <w:rPr>
          <w:rFonts w:ascii="Arial" w:hAnsi="Arial" w:cs="Arial"/>
          <w:sz w:val="24"/>
          <w:szCs w:val="24"/>
        </w:rPr>
        <w:t>die 1. Zivilkammer insgesamt 8</w:t>
      </w:r>
    </w:p>
    <w:p w:rsidR="00DC7EDC" w:rsidRPr="0054494A" w:rsidRDefault="00DC7EDC" w:rsidP="00DC7EDC">
      <w:pPr>
        <w:pStyle w:val="Listenabsatz"/>
        <w:spacing w:after="0" w:line="360" w:lineRule="auto"/>
        <w:ind w:left="714"/>
        <w:contextualSpacing w:val="0"/>
        <w:jc w:val="both"/>
        <w:rPr>
          <w:rFonts w:ascii="Arial" w:hAnsi="Arial" w:cs="Arial"/>
          <w:sz w:val="24"/>
          <w:szCs w:val="24"/>
        </w:rPr>
      </w:pPr>
    </w:p>
    <w:p w:rsidR="00DC7EDC" w:rsidRDefault="00DC7EDC" w:rsidP="00DC7EDC">
      <w:pPr>
        <w:ind w:left="360"/>
        <w:jc w:val="both"/>
      </w:pPr>
      <w:r>
        <w:t xml:space="preserve">Verfahren in der Weise, dass die Verfahren nach dem jeweiligen Eingangsdatum beim Landgericht Bielefeld sortiert und beginnend mit dem jüngsten Verfahren auf </w:t>
      </w:r>
      <w:r>
        <w:lastRenderedPageBreak/>
        <w:t>die vorgenannten Kammern verteilt werden. Die Verteilung erfolgt in der Reihenfolge 19., 18., 9., 8., 7., 6., 5., 4., 3 und 1. Zivilkammer, sodann 1., 3., 4., 5., 6., 7., 8., 9., 18. und 19. Zivilkammer, sodann wieder 19., 18.,</w:t>
      </w:r>
      <w:r w:rsidRPr="005D37EE">
        <w:t xml:space="preserve"> </w:t>
      </w:r>
      <w:r>
        <w:t>9., 8., 7., 6., 5., 4., 3 und 1. Zivilkammer  usw., so dass die 19. Zivilkammer das jüngste, die 18. Zivilkammer das zweitjüngste, die 9. Zivilkammer das drittjüngste Verfahren übernimmt etc. Bei dieser Verteilung wird jede der vorgenannten Zivilkammern so lange berücksichtigt, bis die für sie vorgesehene Gesamtzahl zu übernehmender Verfahren jeweils erreicht ist.</w:t>
      </w:r>
    </w:p>
    <w:p w:rsidR="00DC7EDC" w:rsidRDefault="00DC7EDC" w:rsidP="00DC7EDC">
      <w:pPr>
        <w:ind w:left="360"/>
        <w:jc w:val="both"/>
      </w:pPr>
    </w:p>
    <w:p w:rsidR="00DC7EDC" w:rsidRDefault="00DC7EDC" w:rsidP="00DC7EDC">
      <w:pPr>
        <w:pStyle w:val="Listenabsatz"/>
        <w:numPr>
          <w:ilvl w:val="0"/>
          <w:numId w:val="1"/>
        </w:numPr>
        <w:spacing w:after="0" w:line="360" w:lineRule="auto"/>
        <w:jc w:val="both"/>
        <w:rPr>
          <w:rFonts w:ascii="Arial" w:hAnsi="Arial" w:cs="Arial"/>
          <w:sz w:val="24"/>
          <w:szCs w:val="24"/>
        </w:rPr>
      </w:pPr>
      <w:r>
        <w:rPr>
          <w:rFonts w:ascii="Arial" w:hAnsi="Arial" w:cs="Arial"/>
          <w:sz w:val="24"/>
          <w:szCs w:val="24"/>
        </w:rPr>
        <w:t xml:space="preserve">Von den 20 jüngsten der Verfahren mit den Endziffern </w:t>
      </w:r>
    </w:p>
    <w:p w:rsidR="00DC7EDC" w:rsidRDefault="00DC7EDC" w:rsidP="00DC7EDC">
      <w:pPr>
        <w:pStyle w:val="Listenabsatz"/>
        <w:spacing w:after="0" w:line="360" w:lineRule="auto"/>
        <w:ind w:left="360"/>
        <w:jc w:val="both"/>
        <w:rPr>
          <w:rFonts w:ascii="Arial" w:hAnsi="Arial" w:cs="Arial"/>
          <w:sz w:val="24"/>
          <w:szCs w:val="24"/>
        </w:rPr>
      </w:pPr>
    </w:p>
    <w:p w:rsidR="00DC7EDC" w:rsidRPr="00273EE5" w:rsidRDefault="00DC7EDC" w:rsidP="00DC7EDC">
      <w:pPr>
        <w:pStyle w:val="Listenabsatz"/>
        <w:spacing w:after="0" w:line="360" w:lineRule="auto"/>
        <w:ind w:left="360"/>
        <w:jc w:val="center"/>
        <w:rPr>
          <w:rFonts w:ascii="Arial" w:hAnsi="Arial" w:cs="Arial"/>
          <w:sz w:val="24"/>
          <w:szCs w:val="24"/>
        </w:rPr>
      </w:pPr>
      <w:r>
        <w:rPr>
          <w:rFonts w:ascii="Arial" w:hAnsi="Arial" w:cs="Arial"/>
          <w:sz w:val="24"/>
          <w:szCs w:val="24"/>
        </w:rPr>
        <w:t>0, 1, 05, 15, 25, 35 und 45</w:t>
      </w:r>
    </w:p>
    <w:p w:rsidR="00DC7EDC" w:rsidRDefault="00DC7EDC" w:rsidP="00DC7EDC">
      <w:pPr>
        <w:pStyle w:val="Listenabsatz"/>
        <w:spacing w:after="0" w:line="360" w:lineRule="auto"/>
        <w:ind w:left="360"/>
        <w:jc w:val="both"/>
        <w:rPr>
          <w:rFonts w:ascii="Arial" w:hAnsi="Arial" w:cs="Arial"/>
          <w:sz w:val="24"/>
          <w:szCs w:val="24"/>
        </w:rPr>
      </w:pPr>
    </w:p>
    <w:p w:rsidR="00DC7EDC" w:rsidRDefault="00DC7EDC" w:rsidP="00DC7EDC">
      <w:pPr>
        <w:pStyle w:val="Listenabsatz"/>
        <w:spacing w:after="0" w:line="360" w:lineRule="auto"/>
        <w:ind w:left="360"/>
        <w:jc w:val="both"/>
        <w:rPr>
          <w:rFonts w:ascii="Arial" w:hAnsi="Arial" w:cs="Arial"/>
          <w:sz w:val="24"/>
          <w:szCs w:val="24"/>
        </w:rPr>
      </w:pPr>
      <w:r>
        <w:rPr>
          <w:rFonts w:ascii="Arial" w:hAnsi="Arial" w:cs="Arial"/>
          <w:sz w:val="24"/>
          <w:szCs w:val="24"/>
        </w:rPr>
        <w:t xml:space="preserve">übernehmen </w:t>
      </w:r>
    </w:p>
    <w:p w:rsidR="00DC7EDC" w:rsidRDefault="00DC7EDC" w:rsidP="00DC7EDC">
      <w:pPr>
        <w:pStyle w:val="Listenabsatz"/>
        <w:spacing w:after="0" w:line="360" w:lineRule="auto"/>
        <w:ind w:left="360"/>
        <w:jc w:val="both"/>
        <w:rPr>
          <w:rFonts w:ascii="Arial" w:hAnsi="Arial" w:cs="Arial"/>
          <w:sz w:val="24"/>
          <w:szCs w:val="24"/>
        </w:rPr>
      </w:pPr>
    </w:p>
    <w:p w:rsidR="00DC7EDC" w:rsidRDefault="00DC7EDC" w:rsidP="00DC7EDC">
      <w:pPr>
        <w:pStyle w:val="Listenabsatz"/>
        <w:spacing w:after="0" w:line="360" w:lineRule="auto"/>
        <w:ind w:left="360"/>
        <w:jc w:val="both"/>
        <w:rPr>
          <w:rFonts w:ascii="Arial" w:hAnsi="Arial" w:cs="Arial"/>
          <w:sz w:val="24"/>
          <w:szCs w:val="24"/>
        </w:rPr>
      </w:pPr>
      <w:r>
        <w:rPr>
          <w:rFonts w:ascii="Arial" w:hAnsi="Arial" w:cs="Arial"/>
          <w:sz w:val="24"/>
          <w:szCs w:val="24"/>
        </w:rPr>
        <w:t xml:space="preserve">a) die 20. Zivilkammer insgesamt 7 und </w:t>
      </w:r>
    </w:p>
    <w:p w:rsidR="00DC7EDC" w:rsidRDefault="00DC7EDC" w:rsidP="00DC7EDC">
      <w:pPr>
        <w:pStyle w:val="Listenabsatz"/>
        <w:spacing w:after="0" w:line="360" w:lineRule="auto"/>
        <w:ind w:left="360"/>
        <w:jc w:val="both"/>
        <w:rPr>
          <w:rFonts w:ascii="Arial" w:hAnsi="Arial" w:cs="Arial"/>
          <w:sz w:val="24"/>
          <w:szCs w:val="24"/>
        </w:rPr>
      </w:pPr>
      <w:r>
        <w:rPr>
          <w:rFonts w:ascii="Arial" w:hAnsi="Arial" w:cs="Arial"/>
          <w:sz w:val="24"/>
          <w:szCs w:val="24"/>
        </w:rPr>
        <w:t>b) die 22. Zivilkammer insgesamt 13</w:t>
      </w:r>
    </w:p>
    <w:p w:rsidR="00DC7EDC" w:rsidRDefault="00DC7EDC" w:rsidP="00DC7EDC">
      <w:pPr>
        <w:pStyle w:val="Listenabsatz"/>
        <w:spacing w:after="0" w:line="360" w:lineRule="auto"/>
        <w:ind w:left="360"/>
        <w:jc w:val="both"/>
        <w:rPr>
          <w:rFonts w:ascii="Arial" w:hAnsi="Arial" w:cs="Arial"/>
          <w:sz w:val="24"/>
          <w:szCs w:val="24"/>
        </w:rPr>
      </w:pPr>
    </w:p>
    <w:p w:rsidR="00DC7EDC" w:rsidRDefault="00DC7EDC" w:rsidP="00DC7EDC">
      <w:pPr>
        <w:pStyle w:val="Listenabsatz"/>
        <w:spacing w:after="0" w:line="360" w:lineRule="auto"/>
        <w:ind w:left="360"/>
        <w:jc w:val="both"/>
        <w:rPr>
          <w:rFonts w:ascii="Arial" w:hAnsi="Arial" w:cs="Arial"/>
          <w:sz w:val="24"/>
          <w:szCs w:val="24"/>
        </w:rPr>
      </w:pPr>
      <w:r>
        <w:rPr>
          <w:rFonts w:ascii="Arial" w:hAnsi="Arial" w:cs="Arial"/>
          <w:sz w:val="24"/>
          <w:szCs w:val="24"/>
        </w:rPr>
        <w:t>Verfahren in der Weise, dass die Verfahren nach dem jeweiligen Eingangsdatum beim Landgericht Bielefeld sortiert, beginnend mit dem jüngsten Verfahren, abwechselnd auf die vorgenannten Kammern verteilt werden, wobei die Verteilung bei der 22. Zivilkammer beginnt. Bei dieser Verteilung wird die 20. Zivilkammer so lange berücksichtigt, bis die für sie vorgesehene Gesamtzahl zu übernehmender Verfahren von 7 erreicht ist. Die danach verbleibenden Verfahren übernimmt die 22. Zivilkammer.</w:t>
      </w:r>
    </w:p>
    <w:p w:rsidR="00DC7EDC" w:rsidRPr="00273EE5" w:rsidRDefault="00DC7EDC" w:rsidP="00DC7EDC">
      <w:pPr>
        <w:pStyle w:val="Listenabsatz"/>
        <w:spacing w:after="0" w:line="360" w:lineRule="auto"/>
        <w:ind w:left="360"/>
        <w:jc w:val="both"/>
        <w:rPr>
          <w:rFonts w:ascii="Arial" w:hAnsi="Arial" w:cs="Arial"/>
          <w:sz w:val="24"/>
          <w:szCs w:val="24"/>
        </w:rPr>
      </w:pPr>
    </w:p>
    <w:p w:rsidR="00DC7EDC" w:rsidRDefault="00DC7EDC" w:rsidP="00DC7EDC">
      <w:pPr>
        <w:jc w:val="both"/>
      </w:pPr>
      <w:r>
        <w:t>II.</w:t>
      </w:r>
    </w:p>
    <w:p w:rsidR="00DC7EDC" w:rsidRPr="006B6BCC" w:rsidRDefault="00DC7EDC" w:rsidP="00DC7EDC">
      <w:pPr>
        <w:jc w:val="both"/>
      </w:pPr>
      <w:r w:rsidRPr="0054494A">
        <w:t xml:space="preserve">Zur </w:t>
      </w:r>
      <w:r>
        <w:t xml:space="preserve">weiteren </w:t>
      </w:r>
      <w:r w:rsidRPr="0054494A">
        <w:t xml:space="preserve">Entlastung </w:t>
      </w:r>
      <w:r>
        <w:t xml:space="preserve">der 2. Zivilkammer </w:t>
      </w:r>
      <w:r w:rsidRPr="0054494A">
        <w:t>und zur Gewährleistung einer gleichmäßigen Belastung sämtlicher Zivilkammern übern</w:t>
      </w:r>
      <w:r>
        <w:t xml:space="preserve">ehmen die 4. Zivilkammer das 1. bis 15. und die 6. Zivilkammer das 16. bis 30. der ab dem 01.07.2020 beim Landgericht Bielefeld eingehenden der 2. Zivilkammer unter B.I.1.b) (2) des Geschäftsverteilungsplans für das Landgericht Bielefeld für das Jahr 2020 zugewiesenen O-Verfahren (andere Rechtsstreitigkeiten im ersten Rechtszug aus dem Amtsgerichtsbezirk Bielefeld mit den Anfangsbuchstaben D, I, J, L, P, Q, R, U, </w:t>
      </w:r>
      <w:r>
        <w:lastRenderedPageBreak/>
        <w:t>W, X, Y und Z des Beklagtennamens und aus dem Amtsgerichtsbezirk Rahden, jeweils soweit nicht Spezialzuständigkeiten nach Sachgebieten bestehen).</w:t>
      </w:r>
    </w:p>
    <w:p w:rsidR="00DC7EDC" w:rsidRDefault="00DC7EDC">
      <w:pPr>
        <w:spacing w:after="240"/>
        <w:jc w:val="both"/>
      </w:pPr>
    </w:p>
    <w:p w:rsidR="00DE1AD4" w:rsidRPr="00DE1AD4" w:rsidRDefault="00DE1AD4" w:rsidP="00DE1AD4">
      <w:pPr>
        <w:tabs>
          <w:tab w:val="left" w:pos="2835"/>
          <w:tab w:val="left" w:pos="6379"/>
        </w:tabs>
        <w:jc w:val="both"/>
        <w:rPr>
          <w:rFonts w:eastAsia="Calibri"/>
        </w:rPr>
      </w:pPr>
    </w:p>
    <w:p w:rsidR="00DE1AD4" w:rsidRPr="00DE1AD4" w:rsidRDefault="00DE1AD4" w:rsidP="00DE1AD4">
      <w:pPr>
        <w:tabs>
          <w:tab w:val="left" w:pos="2835"/>
          <w:tab w:val="left" w:pos="6379"/>
        </w:tabs>
        <w:jc w:val="both"/>
        <w:rPr>
          <w:rFonts w:eastAsia="Calibri"/>
        </w:rPr>
      </w:pPr>
      <w:r w:rsidRPr="00DE1AD4">
        <w:rPr>
          <w:rFonts w:eastAsia="Calibri"/>
        </w:rPr>
        <w:t>Petermann</w:t>
      </w:r>
      <w:r w:rsidRPr="00DE1AD4">
        <w:rPr>
          <w:rFonts w:eastAsia="Calibri"/>
        </w:rPr>
        <w:tab/>
        <w:t>Dr. Misera</w:t>
      </w:r>
      <w:r w:rsidRPr="00DE1AD4">
        <w:rPr>
          <w:rFonts w:eastAsia="Calibri"/>
        </w:rPr>
        <w:tab/>
        <w:t>Müller</w:t>
      </w:r>
    </w:p>
    <w:p w:rsidR="00DE1AD4" w:rsidRPr="00DE1AD4" w:rsidRDefault="00DE1AD4" w:rsidP="00DE1AD4">
      <w:pPr>
        <w:tabs>
          <w:tab w:val="left" w:pos="2835"/>
          <w:tab w:val="left" w:pos="6379"/>
        </w:tabs>
        <w:jc w:val="both"/>
        <w:rPr>
          <w:rFonts w:eastAsia="Calibri"/>
        </w:rPr>
      </w:pPr>
      <w:r w:rsidRPr="00DE1AD4">
        <w:rPr>
          <w:rFonts w:eastAsia="Calibri"/>
        </w:rPr>
        <w:tab/>
      </w:r>
      <w:r w:rsidRPr="00DE1AD4">
        <w:rPr>
          <w:rFonts w:eastAsia="Calibri"/>
        </w:rPr>
        <w:tab/>
      </w:r>
    </w:p>
    <w:p w:rsidR="00DE1AD4" w:rsidRPr="00DE1AD4" w:rsidRDefault="00DE1AD4" w:rsidP="00DE1AD4">
      <w:pPr>
        <w:tabs>
          <w:tab w:val="left" w:pos="2835"/>
          <w:tab w:val="left" w:pos="6379"/>
        </w:tabs>
        <w:jc w:val="both"/>
        <w:rPr>
          <w:rFonts w:eastAsia="Calibri"/>
        </w:rPr>
      </w:pPr>
    </w:p>
    <w:p w:rsidR="00DE1AD4" w:rsidRPr="00DE1AD4" w:rsidRDefault="00DE1AD4" w:rsidP="00DE1AD4">
      <w:pPr>
        <w:tabs>
          <w:tab w:val="left" w:pos="2835"/>
          <w:tab w:val="left" w:pos="6379"/>
        </w:tabs>
        <w:jc w:val="both"/>
        <w:rPr>
          <w:rFonts w:eastAsia="Calibri"/>
        </w:rPr>
      </w:pPr>
    </w:p>
    <w:p w:rsidR="00DE1AD4" w:rsidRPr="00DE1AD4" w:rsidRDefault="00DE1AD4" w:rsidP="00DE1AD4">
      <w:pPr>
        <w:tabs>
          <w:tab w:val="left" w:pos="2835"/>
          <w:tab w:val="left" w:pos="6379"/>
        </w:tabs>
        <w:jc w:val="both"/>
        <w:rPr>
          <w:rFonts w:eastAsia="Calibri"/>
        </w:rPr>
      </w:pPr>
      <w:r w:rsidRPr="00DE1AD4">
        <w:rPr>
          <w:rFonts w:eastAsia="Calibri"/>
        </w:rPr>
        <w:t>Nabel</w:t>
      </w:r>
      <w:r w:rsidRPr="00DE1AD4">
        <w:rPr>
          <w:rFonts w:eastAsia="Calibri"/>
        </w:rPr>
        <w:tab/>
        <w:t>Schröder</w:t>
      </w:r>
      <w:r w:rsidRPr="00DE1AD4">
        <w:rPr>
          <w:rFonts w:eastAsia="Calibri"/>
        </w:rPr>
        <w:tab/>
        <w:t>Dr. Trautwein</w:t>
      </w:r>
      <w:r w:rsidRPr="00DE1AD4">
        <w:rPr>
          <w:rFonts w:eastAsia="Calibri"/>
        </w:rPr>
        <w:tab/>
      </w:r>
    </w:p>
    <w:p w:rsidR="00DE1AD4" w:rsidRPr="00DE1AD4" w:rsidRDefault="00DE1AD4" w:rsidP="00DE1AD4">
      <w:pPr>
        <w:tabs>
          <w:tab w:val="left" w:pos="2835"/>
          <w:tab w:val="left" w:pos="6379"/>
        </w:tabs>
        <w:jc w:val="both"/>
        <w:rPr>
          <w:rFonts w:eastAsia="Calibri"/>
        </w:rPr>
      </w:pPr>
      <w:r w:rsidRPr="00DE1AD4">
        <w:rPr>
          <w:rFonts w:eastAsia="Calibri"/>
        </w:rPr>
        <w:tab/>
      </w:r>
      <w:r w:rsidRPr="00DE1AD4">
        <w:rPr>
          <w:rFonts w:eastAsia="Calibri"/>
        </w:rPr>
        <w:tab/>
      </w:r>
    </w:p>
    <w:p w:rsidR="00DE1AD4" w:rsidRPr="00DE1AD4" w:rsidRDefault="00DE1AD4" w:rsidP="00DE1AD4">
      <w:pPr>
        <w:tabs>
          <w:tab w:val="left" w:pos="2835"/>
          <w:tab w:val="left" w:pos="6379"/>
        </w:tabs>
        <w:jc w:val="both"/>
        <w:rPr>
          <w:rFonts w:eastAsia="Calibri"/>
        </w:rPr>
      </w:pPr>
    </w:p>
    <w:p w:rsidR="00DE1AD4" w:rsidRPr="00DE1AD4" w:rsidRDefault="00DE1AD4" w:rsidP="00DE1AD4">
      <w:pPr>
        <w:tabs>
          <w:tab w:val="left" w:pos="2835"/>
          <w:tab w:val="left" w:pos="6379"/>
        </w:tabs>
        <w:jc w:val="both"/>
        <w:rPr>
          <w:rFonts w:eastAsia="Calibri"/>
        </w:rPr>
      </w:pPr>
    </w:p>
    <w:p w:rsidR="00DE1AD4" w:rsidRPr="00DE1AD4" w:rsidRDefault="00DE1AD4" w:rsidP="00DE1AD4">
      <w:pPr>
        <w:tabs>
          <w:tab w:val="left" w:pos="2835"/>
          <w:tab w:val="left" w:pos="6379"/>
        </w:tabs>
        <w:jc w:val="both"/>
        <w:rPr>
          <w:rFonts w:eastAsia="Calibri"/>
        </w:rPr>
      </w:pPr>
      <w:r w:rsidRPr="00DE1AD4">
        <w:rPr>
          <w:rFonts w:eastAsia="Calibri"/>
        </w:rPr>
        <w:t>Wiemann</w:t>
      </w:r>
      <w:r w:rsidRPr="00DE1AD4">
        <w:rPr>
          <w:rFonts w:eastAsia="Calibri"/>
        </w:rPr>
        <w:tab/>
        <w:t>Dr. Windmann</w:t>
      </w:r>
      <w:r w:rsidRPr="00DE1AD4">
        <w:rPr>
          <w:rFonts w:eastAsia="Calibri"/>
        </w:rPr>
        <w:tab/>
        <w:t>Dr. Zimmermann</w:t>
      </w:r>
    </w:p>
    <w:p w:rsidR="00DE1AD4" w:rsidRDefault="00DE1AD4">
      <w:pPr>
        <w:spacing w:after="240"/>
        <w:jc w:val="both"/>
      </w:pPr>
    </w:p>
    <w:p w:rsidR="00DE1AD4" w:rsidRPr="004760A5" w:rsidRDefault="00DE1AD4">
      <w:pPr>
        <w:spacing w:after="240"/>
        <w:jc w:val="both"/>
      </w:pPr>
    </w:p>
    <w:sectPr w:rsidR="00DE1AD4" w:rsidRPr="004760A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7C2B23"/>
    <w:multiLevelType w:val="hybridMultilevel"/>
    <w:tmpl w:val="14CC4F3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5FE64F58"/>
    <w:multiLevelType w:val="hybridMultilevel"/>
    <w:tmpl w:val="9C84181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FF0"/>
    <w:rsid w:val="0008462C"/>
    <w:rsid w:val="00117397"/>
    <w:rsid w:val="002113D8"/>
    <w:rsid w:val="00224FEB"/>
    <w:rsid w:val="002504C5"/>
    <w:rsid w:val="00254038"/>
    <w:rsid w:val="002741F7"/>
    <w:rsid w:val="0030394B"/>
    <w:rsid w:val="00315F30"/>
    <w:rsid w:val="003170AB"/>
    <w:rsid w:val="00410D88"/>
    <w:rsid w:val="004760A5"/>
    <w:rsid w:val="004B41F0"/>
    <w:rsid w:val="004B73A8"/>
    <w:rsid w:val="005D5149"/>
    <w:rsid w:val="00655BAE"/>
    <w:rsid w:val="0066705D"/>
    <w:rsid w:val="0070593F"/>
    <w:rsid w:val="0074404F"/>
    <w:rsid w:val="00786B55"/>
    <w:rsid w:val="009668F8"/>
    <w:rsid w:val="00A06FF0"/>
    <w:rsid w:val="00B0176C"/>
    <w:rsid w:val="00B40E22"/>
    <w:rsid w:val="00B923E5"/>
    <w:rsid w:val="00BA6584"/>
    <w:rsid w:val="00C07367"/>
    <w:rsid w:val="00C34B4B"/>
    <w:rsid w:val="00C3790F"/>
    <w:rsid w:val="00CD294E"/>
    <w:rsid w:val="00CE3229"/>
    <w:rsid w:val="00CF62B9"/>
    <w:rsid w:val="00D11DC1"/>
    <w:rsid w:val="00DC7EDC"/>
    <w:rsid w:val="00DE1AD4"/>
    <w:rsid w:val="00E50291"/>
    <w:rsid w:val="00E77D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E47741-90F4-4E7F-9BE6-B650E47DE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de-DE" w:eastAsia="en-US" w:bidi="ar-SA"/>
      </w:rPr>
    </w:rPrDefault>
    <w:pPrDefault>
      <w:pPr>
        <w:spacing w:after="120" w:line="32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F0"/>
    <w:pPr>
      <w:spacing w:after="0" w:line="360" w:lineRule="auto"/>
    </w:pPr>
    <w:rPr>
      <w:rFonts w:cs="Arial"/>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F62B9"/>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F62B9"/>
    <w:rPr>
      <w:rFonts w:ascii="Segoe UI" w:hAnsi="Segoe UI" w:cs="Segoe UI"/>
      <w:sz w:val="18"/>
      <w:szCs w:val="18"/>
    </w:rPr>
  </w:style>
  <w:style w:type="character" w:styleId="Kommentarzeichen">
    <w:name w:val="annotation reference"/>
    <w:basedOn w:val="Absatz-Standardschriftart"/>
    <w:uiPriority w:val="99"/>
    <w:semiHidden/>
    <w:unhideWhenUsed/>
    <w:rsid w:val="00655BAE"/>
    <w:rPr>
      <w:sz w:val="16"/>
      <w:szCs w:val="16"/>
    </w:rPr>
  </w:style>
  <w:style w:type="paragraph" w:styleId="Kommentartext">
    <w:name w:val="annotation text"/>
    <w:basedOn w:val="Standard"/>
    <w:link w:val="KommentartextZchn"/>
    <w:uiPriority w:val="99"/>
    <w:semiHidden/>
    <w:unhideWhenUsed/>
    <w:rsid w:val="00655BA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55BAE"/>
    <w:rPr>
      <w:rFonts w:cs="Arial"/>
      <w:sz w:val="20"/>
      <w:szCs w:val="20"/>
    </w:rPr>
  </w:style>
  <w:style w:type="paragraph" w:styleId="Kommentarthema">
    <w:name w:val="annotation subject"/>
    <w:basedOn w:val="Kommentartext"/>
    <w:next w:val="Kommentartext"/>
    <w:link w:val="KommentarthemaZchn"/>
    <w:uiPriority w:val="99"/>
    <w:semiHidden/>
    <w:unhideWhenUsed/>
    <w:rsid w:val="00655BAE"/>
    <w:rPr>
      <w:b/>
      <w:bCs/>
    </w:rPr>
  </w:style>
  <w:style w:type="character" w:customStyle="1" w:styleId="KommentarthemaZchn">
    <w:name w:val="Kommentarthema Zchn"/>
    <w:basedOn w:val="KommentartextZchn"/>
    <w:link w:val="Kommentarthema"/>
    <w:uiPriority w:val="99"/>
    <w:semiHidden/>
    <w:rsid w:val="00655BAE"/>
    <w:rPr>
      <w:rFonts w:cs="Arial"/>
      <w:b/>
      <w:bCs/>
      <w:sz w:val="20"/>
      <w:szCs w:val="20"/>
    </w:rPr>
  </w:style>
  <w:style w:type="paragraph" w:styleId="Listenabsatz">
    <w:name w:val="List Paragraph"/>
    <w:basedOn w:val="Standard"/>
    <w:uiPriority w:val="34"/>
    <w:qFormat/>
    <w:rsid w:val="00DC7EDC"/>
    <w:pPr>
      <w:spacing w:after="160" w:line="259" w:lineRule="auto"/>
      <w:ind w:left="720"/>
      <w:contextualSpacing/>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4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E520F704.dotm</Template>
  <TotalTime>0</TotalTime>
  <Pages>5</Pages>
  <Words>808</Words>
  <Characters>5097</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Justiz Land NRW</Company>
  <LinksUpToDate>false</LinksUpToDate>
  <CharactersWithSpaces>5894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Riesenbeck, Tim</dc:creator>
  <cp:keywords/>
  <dc:description/>
  <cp:lastModifiedBy>Kölling, Laura-Ariane</cp:lastModifiedBy>
  <cp:revision>4</cp:revision>
  <cp:lastPrinted>2020-06-29T08:56:00Z</cp:lastPrinted>
  <dcterms:created xsi:type="dcterms:W3CDTF">2020-06-29T07:47:00Z</dcterms:created>
  <dcterms:modified xsi:type="dcterms:W3CDTF">2023-04-28T11:32:00Z</dcterms:modified>
</cp:coreProperties>
</file>