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FF0" w:rsidRDefault="00A06FF0" w:rsidP="00A06FF0">
      <w:pPr>
        <w:outlineLvl w:val="0"/>
        <w:rPr>
          <w:b/>
        </w:rPr>
      </w:pPr>
      <w:r>
        <w:rPr>
          <w:b/>
        </w:rPr>
        <w:t>Das Präsidium des Landgerichts</w:t>
      </w:r>
    </w:p>
    <w:p w:rsidR="00A06FF0" w:rsidRDefault="00A06FF0" w:rsidP="00A06FF0">
      <w:pPr>
        <w:rPr>
          <w:b/>
        </w:rPr>
      </w:pPr>
      <w:r>
        <w:rPr>
          <w:b/>
        </w:rPr>
        <w:t>320 E – 50.65 (15)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</w:rPr>
        <w:tab/>
        <w:t xml:space="preserve">  </w:t>
      </w:r>
      <w:r w:rsidR="00C73FA2">
        <w:rPr>
          <w:b/>
        </w:rPr>
        <w:t xml:space="preserve">      </w:t>
      </w:r>
      <w:r w:rsidR="00C73FA2">
        <w:rPr>
          <w:b/>
        </w:rPr>
        <w:tab/>
      </w:r>
      <w:r w:rsidR="00C73FA2">
        <w:rPr>
          <w:b/>
        </w:rPr>
        <w:tab/>
      </w:r>
      <w:r w:rsidR="00C73FA2">
        <w:rPr>
          <w:b/>
        </w:rPr>
        <w:tab/>
        <w:t xml:space="preserve">        Bielefeld, den </w:t>
      </w:r>
      <w:r w:rsidR="00BF2AD7" w:rsidRPr="00BF2AD7">
        <w:rPr>
          <w:b/>
        </w:rPr>
        <w:t>21</w:t>
      </w:r>
      <w:r w:rsidRPr="00BF2AD7">
        <w:rPr>
          <w:b/>
        </w:rPr>
        <w:t>.0</w:t>
      </w:r>
      <w:r w:rsidR="00B45E99" w:rsidRPr="00BF2AD7">
        <w:rPr>
          <w:b/>
        </w:rPr>
        <w:t>7</w:t>
      </w:r>
      <w:r w:rsidRPr="00BF2AD7">
        <w:rPr>
          <w:b/>
        </w:rPr>
        <w:t>.2020</w:t>
      </w:r>
    </w:p>
    <w:p w:rsidR="00A06FF0" w:rsidRDefault="00A06FF0" w:rsidP="00A06FF0">
      <w:pPr>
        <w:rPr>
          <w:b/>
        </w:rPr>
      </w:pPr>
    </w:p>
    <w:p w:rsidR="00A06FF0" w:rsidRDefault="00B45E99" w:rsidP="00A06FF0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10</w:t>
      </w:r>
      <w:r w:rsidR="00A06FF0">
        <w:rPr>
          <w:b/>
          <w:u w:val="single"/>
        </w:rPr>
        <w:t>. Änderungsbeschluss zur Geschäftsverteilung</w:t>
      </w:r>
    </w:p>
    <w:p w:rsidR="00A06FF0" w:rsidRDefault="00A06FF0" w:rsidP="00A06FF0">
      <w:pPr>
        <w:jc w:val="center"/>
        <w:rPr>
          <w:b/>
          <w:u w:val="single"/>
        </w:rPr>
      </w:pPr>
      <w:r>
        <w:rPr>
          <w:b/>
          <w:u w:val="single"/>
        </w:rPr>
        <w:t>für das Landgericht Bielefeld im Jahr 2020</w:t>
      </w:r>
    </w:p>
    <w:p w:rsidR="00A06FF0" w:rsidRDefault="00A06FF0" w:rsidP="004760A5">
      <w:pPr>
        <w:tabs>
          <w:tab w:val="left" w:pos="2835"/>
          <w:tab w:val="left" w:pos="6379"/>
        </w:tabs>
        <w:spacing w:after="240"/>
        <w:jc w:val="both"/>
      </w:pPr>
    </w:p>
    <w:p w:rsidR="00B45E99" w:rsidRDefault="009A4D48" w:rsidP="00B45E99">
      <w:pPr>
        <w:spacing w:after="240"/>
        <w:jc w:val="both"/>
      </w:pPr>
      <w:r>
        <w:rPr>
          <w:b/>
        </w:rPr>
        <w:t>pp.</w:t>
      </w:r>
    </w:p>
    <w:p w:rsidR="009A4D48" w:rsidRDefault="009A4D48" w:rsidP="009A4D48">
      <w:pPr>
        <w:spacing w:after="120" w:line="320" w:lineRule="atLeast"/>
      </w:pPr>
    </w:p>
    <w:p w:rsidR="004760A5" w:rsidRDefault="004760A5" w:rsidP="009A4D48">
      <w:pPr>
        <w:spacing w:after="120" w:line="320" w:lineRule="atLeast"/>
      </w:pPr>
      <w:bookmarkStart w:id="0" w:name="_GoBack"/>
      <w:bookmarkEnd w:id="0"/>
      <w:r>
        <w:t>Die Geschäftsverteilung wird aus diesen Gründen wie folgt geändert:</w:t>
      </w:r>
    </w:p>
    <w:p w:rsidR="00FB7AC2" w:rsidRDefault="00FB7AC2" w:rsidP="0070593F">
      <w:pPr>
        <w:spacing w:after="120"/>
        <w:jc w:val="both"/>
      </w:pPr>
    </w:p>
    <w:p w:rsidR="009B572F" w:rsidRPr="009B572F" w:rsidRDefault="009B572F" w:rsidP="0070593F">
      <w:pPr>
        <w:spacing w:after="120"/>
        <w:jc w:val="both"/>
        <w:rPr>
          <w:b/>
        </w:rPr>
      </w:pPr>
      <w:r w:rsidRPr="009B572F">
        <w:rPr>
          <w:b/>
        </w:rPr>
        <w:t>I. Mit Wirkung zum 01.08.2020:</w:t>
      </w:r>
    </w:p>
    <w:p w:rsidR="00BD2BEC" w:rsidRDefault="00BD2BEC" w:rsidP="0070593F">
      <w:pPr>
        <w:spacing w:after="120"/>
        <w:jc w:val="both"/>
      </w:pPr>
      <w:r>
        <w:t>1.</w:t>
      </w:r>
    </w:p>
    <w:p w:rsidR="009B572F" w:rsidRDefault="009B572F" w:rsidP="0070593F">
      <w:pPr>
        <w:spacing w:after="120"/>
        <w:jc w:val="both"/>
      </w:pPr>
      <w:r>
        <w:t xml:space="preserve">Richterin am Landgericht </w:t>
      </w:r>
      <w:r w:rsidRPr="009B572F">
        <w:rPr>
          <w:b/>
        </w:rPr>
        <w:t>Dr. Börger-Fischer</w:t>
      </w:r>
      <w:r>
        <w:t xml:space="preserve"> scheidet aus der 21. Zivilkammer aus und wird </w:t>
      </w:r>
      <w:r w:rsidR="00002D5A">
        <w:t>im Umfang von 0,5 ihrer Arbeitskraft</w:t>
      </w:r>
      <w:r>
        <w:t xml:space="preserve"> der 5. kleinen Strafkammer zugewiesen,</w:t>
      </w:r>
      <w:r w:rsidR="00002D5A">
        <w:t xml:space="preserve"> der sie dann in diesem Umfang </w:t>
      </w:r>
      <w:r w:rsidR="007A6C34">
        <w:t>angehört und</w:t>
      </w:r>
      <w:r>
        <w:t xml:space="preserve"> in der sie den stellvertretenden Vorsitz übernimmt.</w:t>
      </w:r>
      <w:r w:rsidR="00002D5A">
        <w:t xml:space="preserve"> Im Umfang von 0,2 ihrer Arbeitskraft wird sie der 8. Strafkammer zugewiesen.</w:t>
      </w:r>
    </w:p>
    <w:p w:rsidR="009B572F" w:rsidRDefault="009B572F" w:rsidP="0070593F">
      <w:pPr>
        <w:spacing w:after="120"/>
        <w:jc w:val="both"/>
      </w:pPr>
    </w:p>
    <w:p w:rsidR="00BD2BEC" w:rsidRDefault="00BD2BEC" w:rsidP="0070593F">
      <w:pPr>
        <w:spacing w:after="120"/>
        <w:jc w:val="both"/>
      </w:pPr>
      <w:r>
        <w:t xml:space="preserve">2. </w:t>
      </w:r>
    </w:p>
    <w:p w:rsidR="00BD2BEC" w:rsidRDefault="00BD2BEC" w:rsidP="0070593F">
      <w:pPr>
        <w:spacing w:after="120"/>
        <w:jc w:val="both"/>
      </w:pPr>
      <w:r>
        <w:t xml:space="preserve">Vorsitzender Richter am Landgericht </w:t>
      </w:r>
      <w:r w:rsidR="003C62B8">
        <w:rPr>
          <w:b/>
        </w:rPr>
        <w:t>Wahlmann</w:t>
      </w:r>
      <w:r>
        <w:t xml:space="preserve"> übernimmt den Vorsitz der 19.</w:t>
      </w:r>
      <w:r w:rsidR="00432261">
        <w:t> </w:t>
      </w:r>
      <w:r>
        <w:t>Strafkammer (Strafvollstreckungskammer).</w:t>
      </w:r>
    </w:p>
    <w:p w:rsidR="00BD2BEC" w:rsidRDefault="00BD2BEC" w:rsidP="0070593F">
      <w:pPr>
        <w:spacing w:after="120"/>
        <w:jc w:val="both"/>
      </w:pPr>
    </w:p>
    <w:p w:rsidR="00BD2BEC" w:rsidRDefault="00BD2BEC" w:rsidP="0070593F">
      <w:pPr>
        <w:spacing w:after="120"/>
        <w:jc w:val="both"/>
      </w:pPr>
      <w:r>
        <w:t>3.</w:t>
      </w:r>
    </w:p>
    <w:p w:rsidR="00BD2BEC" w:rsidRDefault="00BD2BEC" w:rsidP="0070593F">
      <w:pPr>
        <w:spacing w:after="120"/>
        <w:jc w:val="both"/>
      </w:pPr>
      <w:r>
        <w:t xml:space="preserve">Richterin </w:t>
      </w:r>
      <w:r w:rsidRPr="00BD2BEC">
        <w:rPr>
          <w:b/>
        </w:rPr>
        <w:t>Dr. Hellmeier</w:t>
      </w:r>
      <w:r>
        <w:t xml:space="preserve"> scheidet mit 0,3 ihrer Arbeitskraft aus der 4. großen Strafkammer aus und wird insoweit der 19. Strafkammer (Strafvollstreckungskammer) zugewiesen, der sie dann mit 0,3 ihrer Arbeitskraft angehört.</w:t>
      </w:r>
    </w:p>
    <w:p w:rsidR="00BD2BEC" w:rsidRDefault="00BD2BEC" w:rsidP="0070593F">
      <w:pPr>
        <w:spacing w:after="120"/>
        <w:jc w:val="both"/>
      </w:pPr>
    </w:p>
    <w:p w:rsidR="00191746" w:rsidRDefault="00191746" w:rsidP="0070593F">
      <w:pPr>
        <w:spacing w:after="120"/>
        <w:jc w:val="both"/>
      </w:pPr>
      <w:r>
        <w:t xml:space="preserve">4. </w:t>
      </w:r>
    </w:p>
    <w:p w:rsidR="00191746" w:rsidRDefault="00191746" w:rsidP="0070593F">
      <w:pPr>
        <w:spacing w:after="120"/>
        <w:jc w:val="both"/>
      </w:pPr>
      <w:r>
        <w:t xml:space="preserve">Vorsitzender Richter am Landgericht </w:t>
      </w:r>
      <w:r w:rsidRPr="00191746">
        <w:rPr>
          <w:b/>
        </w:rPr>
        <w:t>Meiring</w:t>
      </w:r>
      <w:r>
        <w:t xml:space="preserve"> wird im Umfang des aufgrund der Auflösung der Hilfsstrafkammer 4a frei gewordenen Anteils von 0,1 seiner Arbeitskraft </w:t>
      </w:r>
      <w:r>
        <w:lastRenderedPageBreak/>
        <w:t>der 10. großen Strafkammer zugewiesen, der er dann mit 0,9 seiner Arbeitskraft angehört.</w:t>
      </w:r>
    </w:p>
    <w:p w:rsidR="00191746" w:rsidRDefault="00191746" w:rsidP="0070593F">
      <w:pPr>
        <w:spacing w:after="120"/>
        <w:jc w:val="both"/>
      </w:pPr>
    </w:p>
    <w:p w:rsidR="00191746" w:rsidRDefault="00191746" w:rsidP="0070593F">
      <w:pPr>
        <w:spacing w:after="120"/>
        <w:jc w:val="both"/>
      </w:pPr>
      <w:r>
        <w:t>5.</w:t>
      </w:r>
    </w:p>
    <w:p w:rsidR="00191746" w:rsidRDefault="00191746" w:rsidP="00191746">
      <w:pPr>
        <w:spacing w:after="120"/>
        <w:jc w:val="both"/>
      </w:pPr>
      <w:r>
        <w:t xml:space="preserve">Richterin am Landgericht </w:t>
      </w:r>
      <w:r w:rsidRPr="00191746">
        <w:rPr>
          <w:b/>
        </w:rPr>
        <w:t>Plötz</w:t>
      </w:r>
      <w:r>
        <w:t xml:space="preserve"> wird im Umfang des aufgrund der Auflösung der Hilfsstrafkammer 4a frei gewordenen Anteils von 0,1 ihrer Arbeitskraft der 10. großen Strafkammer zugewiesen, der sie dann mit 0,75 ihrer Arbeitskraft angehört.</w:t>
      </w:r>
    </w:p>
    <w:p w:rsidR="00191746" w:rsidRDefault="00191746" w:rsidP="0070593F">
      <w:pPr>
        <w:spacing w:after="120"/>
        <w:jc w:val="both"/>
      </w:pPr>
    </w:p>
    <w:p w:rsidR="00191746" w:rsidRDefault="00191746" w:rsidP="0070593F">
      <w:pPr>
        <w:spacing w:after="120"/>
        <w:jc w:val="both"/>
      </w:pPr>
      <w:r>
        <w:t>6.</w:t>
      </w:r>
    </w:p>
    <w:p w:rsidR="00191746" w:rsidRDefault="00191746" w:rsidP="00191746">
      <w:pPr>
        <w:spacing w:after="120"/>
        <w:jc w:val="both"/>
      </w:pPr>
      <w:r>
        <w:t xml:space="preserve">Richter am Landgericht </w:t>
      </w:r>
      <w:r w:rsidRPr="00191746">
        <w:rPr>
          <w:b/>
        </w:rPr>
        <w:t>Dr. Paßmann</w:t>
      </w:r>
      <w:r>
        <w:t xml:space="preserve"> wird im Umfang des aufgrund der Auflösung der Hilfsstrafkammer 4a frei gewordenen Anteils von 0,1 seiner Arbeitskraft der 10. großen Strafkammer zugewiesen, der er dann mit 0,75 seiner Arbeitskraft angehört.</w:t>
      </w:r>
    </w:p>
    <w:p w:rsidR="00191746" w:rsidRDefault="00191746" w:rsidP="0070593F">
      <w:pPr>
        <w:spacing w:after="120"/>
        <w:jc w:val="both"/>
      </w:pPr>
    </w:p>
    <w:p w:rsidR="00FB7AC2" w:rsidRPr="009B572F" w:rsidRDefault="00FB7AC2" w:rsidP="0070593F">
      <w:pPr>
        <w:spacing w:after="120"/>
        <w:jc w:val="both"/>
        <w:rPr>
          <w:b/>
        </w:rPr>
      </w:pPr>
      <w:r w:rsidRPr="009B572F">
        <w:rPr>
          <w:b/>
        </w:rPr>
        <w:t>I</w:t>
      </w:r>
      <w:r w:rsidR="009B572F" w:rsidRPr="009B572F">
        <w:rPr>
          <w:b/>
        </w:rPr>
        <w:t>I</w:t>
      </w:r>
      <w:r w:rsidRPr="009B572F">
        <w:rPr>
          <w:b/>
        </w:rPr>
        <w:t>. Mit Wirkung zum 0</w:t>
      </w:r>
      <w:r w:rsidR="0067319F">
        <w:rPr>
          <w:b/>
        </w:rPr>
        <w:t>3</w:t>
      </w:r>
      <w:r w:rsidRPr="009B572F">
        <w:rPr>
          <w:b/>
        </w:rPr>
        <w:t>.08.2020:</w:t>
      </w:r>
    </w:p>
    <w:p w:rsidR="00483DE3" w:rsidRDefault="00483DE3" w:rsidP="0070593F">
      <w:pPr>
        <w:spacing w:after="120"/>
        <w:jc w:val="both"/>
      </w:pPr>
      <w:r>
        <w:t>1.</w:t>
      </w:r>
    </w:p>
    <w:p w:rsidR="004760A5" w:rsidRDefault="00FB7AC2" w:rsidP="0070593F">
      <w:pPr>
        <w:spacing w:after="120"/>
        <w:jc w:val="both"/>
      </w:pPr>
      <w:r>
        <w:t>R</w:t>
      </w:r>
      <w:r w:rsidR="004760A5">
        <w:t>ichterin</w:t>
      </w:r>
      <w:r>
        <w:t xml:space="preserve"> am Landgericht </w:t>
      </w:r>
      <w:r>
        <w:rPr>
          <w:b/>
        </w:rPr>
        <w:t>Becker</w:t>
      </w:r>
      <w:r w:rsidR="004760A5">
        <w:t xml:space="preserve"> scheidet </w:t>
      </w:r>
      <w:r>
        <w:t>aus der 4</w:t>
      </w:r>
      <w:r w:rsidR="004760A5">
        <w:t>. Zivilkammer aus</w:t>
      </w:r>
      <w:r w:rsidR="0070593F">
        <w:t xml:space="preserve"> und </w:t>
      </w:r>
      <w:r w:rsidR="00D11DC1">
        <w:t>wird</w:t>
      </w:r>
      <w:r w:rsidR="004760A5">
        <w:t xml:space="preserve"> </w:t>
      </w:r>
      <w:r>
        <w:t>im Umfang von 0,35 ihrer Arbeitskraft der 1. großen Strafkammer zugewiesen, der sie dann mit 0,65 ihrer Arbeitskraft angehört. Im Umfang von weiteren 0,3 ih</w:t>
      </w:r>
      <w:r w:rsidR="009B572F">
        <w:t>rer Arbeitskraft wird sie der 18</w:t>
      </w:r>
      <w:r>
        <w:t>. Strafkammer (Strafvollstreckungskammer) zugewiesen, der sie dann in diesem Umfang angehört.</w:t>
      </w:r>
    </w:p>
    <w:p w:rsidR="00483DE3" w:rsidRDefault="00483DE3" w:rsidP="0070593F">
      <w:pPr>
        <w:spacing w:after="120"/>
        <w:jc w:val="both"/>
      </w:pPr>
    </w:p>
    <w:p w:rsidR="00483DE3" w:rsidRDefault="00483DE3" w:rsidP="0070593F">
      <w:pPr>
        <w:spacing w:after="120"/>
        <w:jc w:val="both"/>
      </w:pPr>
      <w:r>
        <w:t>2.</w:t>
      </w:r>
    </w:p>
    <w:p w:rsidR="00483DE3" w:rsidRDefault="00483DE3" w:rsidP="0070593F">
      <w:pPr>
        <w:spacing w:after="120"/>
        <w:jc w:val="both"/>
      </w:pPr>
      <w:r>
        <w:t xml:space="preserve">Richterin am Landgericht </w:t>
      </w:r>
      <w:r w:rsidRPr="00483DE3">
        <w:rPr>
          <w:b/>
        </w:rPr>
        <w:t>Oesker</w:t>
      </w:r>
      <w:r>
        <w:t xml:space="preserve"> bleibt stellvertretende Vorsitzende der 1. großen Strafkammer</w:t>
      </w:r>
    </w:p>
    <w:p w:rsidR="0070593F" w:rsidRDefault="0070593F" w:rsidP="0070593F">
      <w:pPr>
        <w:spacing w:after="120"/>
        <w:jc w:val="both"/>
      </w:pPr>
    </w:p>
    <w:p w:rsidR="00DC7EDC" w:rsidRPr="009B572F" w:rsidRDefault="009B572F" w:rsidP="0084329C">
      <w:pPr>
        <w:spacing w:after="120"/>
        <w:jc w:val="both"/>
        <w:rPr>
          <w:b/>
        </w:rPr>
      </w:pPr>
      <w:r w:rsidRPr="009B572F">
        <w:rPr>
          <w:b/>
        </w:rPr>
        <w:t>I</w:t>
      </w:r>
      <w:r w:rsidR="00FB7AC2" w:rsidRPr="009B572F">
        <w:rPr>
          <w:b/>
        </w:rPr>
        <w:t>II. Mit Wirkung zum 06.08.2020:</w:t>
      </w:r>
    </w:p>
    <w:p w:rsidR="009B572F" w:rsidRDefault="009B572F" w:rsidP="00630CE8">
      <w:pPr>
        <w:spacing w:after="120"/>
        <w:jc w:val="both"/>
      </w:pPr>
      <w:r>
        <w:t>1.</w:t>
      </w:r>
    </w:p>
    <w:p w:rsidR="00FB7AC2" w:rsidRDefault="00FB7AC2" w:rsidP="00630CE8">
      <w:pPr>
        <w:spacing w:after="120"/>
        <w:jc w:val="both"/>
      </w:pPr>
      <w:r>
        <w:t xml:space="preserve">Richterin am Landgericht </w:t>
      </w:r>
      <w:r w:rsidRPr="00630CE8">
        <w:rPr>
          <w:b/>
        </w:rPr>
        <w:t>Alwast</w:t>
      </w:r>
      <w:r>
        <w:t xml:space="preserve"> </w:t>
      </w:r>
      <w:r w:rsidR="009B572F">
        <w:t>wird der 4. Zivilkammer zugewiesen, der sie dann im Umfang von 0,75 ihrer Arbeitskraft angehört.</w:t>
      </w:r>
    </w:p>
    <w:p w:rsidR="009B572F" w:rsidRDefault="009B572F" w:rsidP="00630CE8">
      <w:pPr>
        <w:spacing w:after="120"/>
        <w:jc w:val="both"/>
      </w:pPr>
    </w:p>
    <w:p w:rsidR="009B572F" w:rsidRDefault="009B572F" w:rsidP="00630CE8">
      <w:pPr>
        <w:spacing w:after="120"/>
        <w:jc w:val="both"/>
      </w:pPr>
      <w:r>
        <w:t>2.</w:t>
      </w:r>
    </w:p>
    <w:p w:rsidR="009B572F" w:rsidRDefault="009B572F" w:rsidP="00630CE8">
      <w:pPr>
        <w:spacing w:after="120"/>
        <w:jc w:val="both"/>
      </w:pPr>
      <w:r>
        <w:t xml:space="preserve">Richter am Landgericht </w:t>
      </w:r>
      <w:r w:rsidRPr="00630CE8">
        <w:rPr>
          <w:b/>
        </w:rPr>
        <w:t>Dr. Brüning</w:t>
      </w:r>
      <w:r>
        <w:t xml:space="preserve"> übernimmt den stellvertretenden Vorsitz der 4.</w:t>
      </w:r>
      <w:r w:rsidR="00432261">
        <w:t> </w:t>
      </w:r>
      <w:r>
        <w:t>Zivilkammer.</w:t>
      </w:r>
    </w:p>
    <w:p w:rsidR="009B572F" w:rsidRDefault="009B572F" w:rsidP="00630CE8">
      <w:pPr>
        <w:spacing w:after="120"/>
        <w:jc w:val="both"/>
      </w:pPr>
    </w:p>
    <w:p w:rsidR="00ED1826" w:rsidRDefault="00ED1826" w:rsidP="00630CE8">
      <w:pPr>
        <w:spacing w:after="120"/>
        <w:jc w:val="both"/>
      </w:pPr>
    </w:p>
    <w:p w:rsidR="00ED1826" w:rsidRDefault="00ED1826" w:rsidP="00630CE8">
      <w:pPr>
        <w:spacing w:after="120"/>
        <w:jc w:val="both"/>
      </w:pPr>
    </w:p>
    <w:p w:rsidR="009B572F" w:rsidRPr="009B572F" w:rsidRDefault="009B572F" w:rsidP="0084329C">
      <w:pPr>
        <w:spacing w:after="120"/>
        <w:jc w:val="both"/>
        <w:rPr>
          <w:b/>
        </w:rPr>
      </w:pPr>
      <w:r w:rsidRPr="009B572F">
        <w:rPr>
          <w:b/>
        </w:rPr>
        <w:t>IV. Mit Wirkung zum 28.08.2020:</w:t>
      </w:r>
    </w:p>
    <w:p w:rsidR="00B53386" w:rsidRDefault="00B53386" w:rsidP="00630CE8">
      <w:pPr>
        <w:spacing w:after="120"/>
        <w:jc w:val="both"/>
      </w:pPr>
      <w:r>
        <w:t>1.</w:t>
      </w:r>
    </w:p>
    <w:p w:rsidR="00B53386" w:rsidRDefault="00B53386" w:rsidP="00630CE8">
      <w:pPr>
        <w:spacing w:after="120"/>
        <w:jc w:val="both"/>
      </w:pPr>
      <w:r>
        <w:t xml:space="preserve">Richter am Landgericht </w:t>
      </w:r>
      <w:r w:rsidRPr="00B53386">
        <w:rPr>
          <w:b/>
        </w:rPr>
        <w:t>Dr. Kochmann</w:t>
      </w:r>
      <w:r>
        <w:t xml:space="preserve"> scheidet aus der 23. Zivilkammer aus und wird im hierdurch freiwerdenden Umfang von 0,33 seiner Arbeitskraft der 7. Zivilkammer zugewiesen, der er dann mit voller Arbeitskraft angehört.</w:t>
      </w:r>
    </w:p>
    <w:p w:rsidR="00B53386" w:rsidRDefault="00B53386" w:rsidP="00630CE8">
      <w:pPr>
        <w:spacing w:after="120"/>
        <w:jc w:val="both"/>
      </w:pPr>
    </w:p>
    <w:p w:rsidR="00B53386" w:rsidRDefault="00B53386" w:rsidP="00630CE8">
      <w:pPr>
        <w:spacing w:after="120"/>
        <w:jc w:val="both"/>
      </w:pPr>
      <w:r>
        <w:t>2.</w:t>
      </w:r>
    </w:p>
    <w:p w:rsidR="009B572F" w:rsidRDefault="009B572F" w:rsidP="00630CE8">
      <w:pPr>
        <w:spacing w:after="120"/>
        <w:jc w:val="both"/>
      </w:pPr>
      <w:r>
        <w:t xml:space="preserve">Richterin am Landgericht </w:t>
      </w:r>
      <w:r w:rsidRPr="00630CE8">
        <w:rPr>
          <w:b/>
        </w:rPr>
        <w:t>Aulbur</w:t>
      </w:r>
      <w:r w:rsidR="00BD2BEC">
        <w:t xml:space="preserve"> wird</w:t>
      </w:r>
      <w:r w:rsidR="00B53386">
        <w:t xml:space="preserve"> mit 0,4 ihrer Arbeitskraft der 23. Zivilkammer und mit 0,1 ihrer Arbeitskraft</w:t>
      </w:r>
      <w:r w:rsidR="00BD2BEC">
        <w:t xml:space="preserve"> der 7. Zivilkammer zugewiesen, de</w:t>
      </w:r>
      <w:r w:rsidR="00B53386">
        <w:t>nen sie dann jeweils in diesem Umfang</w:t>
      </w:r>
      <w:r w:rsidR="00BD2BEC">
        <w:t xml:space="preserve"> angehört.</w:t>
      </w:r>
    </w:p>
    <w:p w:rsidR="00BD2BEC" w:rsidRDefault="00BD2BEC" w:rsidP="00630CE8">
      <w:pPr>
        <w:spacing w:after="120"/>
        <w:jc w:val="both"/>
      </w:pPr>
    </w:p>
    <w:p w:rsidR="009B572F" w:rsidRPr="00191746" w:rsidRDefault="00191746" w:rsidP="009D36B5">
      <w:pPr>
        <w:spacing w:after="120"/>
        <w:jc w:val="center"/>
        <w:rPr>
          <w:b/>
        </w:rPr>
      </w:pPr>
      <w:r w:rsidRPr="00191746">
        <w:rPr>
          <w:b/>
        </w:rPr>
        <w:t>B.</w:t>
      </w:r>
    </w:p>
    <w:p w:rsidR="00191746" w:rsidRPr="00BA32F8" w:rsidRDefault="009D36B5" w:rsidP="00191746">
      <w:pPr>
        <w:jc w:val="both"/>
      </w:pPr>
      <w:r>
        <w:t xml:space="preserve">Im Hinblick auf die Auflösung der Hilfsstrafkammer 4a </w:t>
      </w:r>
      <w:r w:rsidR="00F51667">
        <w:t>werden</w:t>
      </w:r>
      <w:r>
        <w:t xml:space="preserve"> </w:t>
      </w:r>
      <w:r w:rsidR="00F51667">
        <w:t>der</w:t>
      </w:r>
      <w:r>
        <w:t xml:space="preserve"> 3. große</w:t>
      </w:r>
      <w:r w:rsidR="00F51667">
        <w:t>n</w:t>
      </w:r>
      <w:r>
        <w:t xml:space="preserve"> Strafkammer</w:t>
      </w:r>
      <w:r w:rsidR="00F51667">
        <w:t xml:space="preserve"> diejenigen</w:t>
      </w:r>
      <w:r>
        <w:t xml:space="preserve"> </w:t>
      </w:r>
      <w:r w:rsidR="00191746" w:rsidRPr="00BA32F8">
        <w:t xml:space="preserve">Strafsachen der </w:t>
      </w:r>
      <w:r>
        <w:t>Hilfsstrafkammer 4a</w:t>
      </w:r>
      <w:r w:rsidR="00F51667">
        <w:t xml:space="preserve"> zugewiesen</w:t>
      </w:r>
      <w:r w:rsidR="00191746" w:rsidRPr="00BA32F8">
        <w:t xml:space="preserve">, die gemäß § 354 Abs. 2 S. 1, 1. </w:t>
      </w:r>
      <w:proofErr w:type="spellStart"/>
      <w:r w:rsidR="00191746" w:rsidRPr="00BA32F8">
        <w:t>Halbs</w:t>
      </w:r>
      <w:proofErr w:type="spellEnd"/>
      <w:r w:rsidR="00191746" w:rsidRPr="00BA32F8">
        <w:t>. StPO oder § 210 Abs. 3 S. 1, 1. Alt StPO an eine nicht benannte Strafkammer des Landgerichts zurückverwiesen werden.</w:t>
      </w:r>
    </w:p>
    <w:p w:rsidR="00191746" w:rsidRDefault="00191746" w:rsidP="00630CE8">
      <w:pPr>
        <w:spacing w:after="120"/>
        <w:jc w:val="both"/>
      </w:pPr>
    </w:p>
    <w:p w:rsidR="00AF705F" w:rsidRDefault="00AF705F" w:rsidP="00AF705F">
      <w:pPr>
        <w:spacing w:after="120"/>
        <w:jc w:val="both"/>
      </w:pPr>
    </w:p>
    <w:p w:rsidR="00AF705F" w:rsidRPr="00DE1AD4" w:rsidRDefault="00AF705F" w:rsidP="00AF705F">
      <w:pPr>
        <w:tabs>
          <w:tab w:val="left" w:pos="2835"/>
          <w:tab w:val="left" w:pos="6379"/>
        </w:tabs>
        <w:jc w:val="both"/>
        <w:rPr>
          <w:rFonts w:eastAsia="Calibri"/>
        </w:rPr>
      </w:pPr>
      <w:r>
        <w:rPr>
          <w:rFonts w:eastAsia="Calibri"/>
        </w:rPr>
        <w:t>Petermann</w:t>
      </w:r>
      <w:r w:rsidRPr="00DE1AD4">
        <w:rPr>
          <w:rFonts w:eastAsia="Calibri"/>
        </w:rPr>
        <w:tab/>
        <w:t>Dr. Misera</w:t>
      </w:r>
      <w:r w:rsidRPr="00DE1AD4">
        <w:rPr>
          <w:rFonts w:eastAsia="Calibri"/>
        </w:rPr>
        <w:tab/>
        <w:t>Müller</w:t>
      </w:r>
    </w:p>
    <w:p w:rsidR="00AF705F" w:rsidRPr="00DE1AD4" w:rsidRDefault="00AF705F" w:rsidP="00AF705F">
      <w:pPr>
        <w:tabs>
          <w:tab w:val="left" w:pos="2835"/>
          <w:tab w:val="left" w:pos="6379"/>
        </w:tabs>
        <w:jc w:val="both"/>
        <w:rPr>
          <w:rFonts w:eastAsia="Calibri"/>
        </w:rPr>
      </w:pPr>
      <w:r w:rsidRPr="00DE1AD4">
        <w:rPr>
          <w:rFonts w:eastAsia="Calibri"/>
        </w:rPr>
        <w:tab/>
      </w:r>
      <w:r w:rsidRPr="00DE1AD4">
        <w:rPr>
          <w:rFonts w:eastAsia="Calibri"/>
        </w:rPr>
        <w:tab/>
      </w:r>
    </w:p>
    <w:p w:rsidR="00AF705F" w:rsidRPr="00DE1AD4" w:rsidRDefault="00AF705F" w:rsidP="00AF705F">
      <w:pPr>
        <w:tabs>
          <w:tab w:val="left" w:pos="2835"/>
          <w:tab w:val="left" w:pos="6379"/>
        </w:tabs>
        <w:jc w:val="both"/>
        <w:rPr>
          <w:rFonts w:eastAsia="Calibri"/>
        </w:rPr>
      </w:pPr>
    </w:p>
    <w:p w:rsidR="00AF705F" w:rsidRPr="00DE1AD4" w:rsidRDefault="00AF705F" w:rsidP="00AF705F">
      <w:pPr>
        <w:tabs>
          <w:tab w:val="left" w:pos="2835"/>
          <w:tab w:val="left" w:pos="6379"/>
        </w:tabs>
        <w:jc w:val="both"/>
        <w:rPr>
          <w:rFonts w:eastAsia="Calibri"/>
        </w:rPr>
      </w:pPr>
      <w:r w:rsidRPr="00DE1AD4">
        <w:rPr>
          <w:rFonts w:eastAsia="Calibri"/>
        </w:rPr>
        <w:t>Nabel</w:t>
      </w:r>
      <w:r w:rsidRPr="00DE1AD4">
        <w:rPr>
          <w:rFonts w:eastAsia="Calibri"/>
        </w:rPr>
        <w:tab/>
        <w:t>Schröder</w:t>
      </w:r>
      <w:r w:rsidRPr="00DE1AD4">
        <w:rPr>
          <w:rFonts w:eastAsia="Calibri"/>
        </w:rPr>
        <w:tab/>
        <w:t>Dr. Trautwein</w:t>
      </w:r>
      <w:r w:rsidRPr="00DE1AD4">
        <w:rPr>
          <w:rFonts w:eastAsia="Calibri"/>
        </w:rPr>
        <w:tab/>
      </w:r>
    </w:p>
    <w:p w:rsidR="00AF705F" w:rsidRPr="00DE1AD4" w:rsidRDefault="00AF705F" w:rsidP="00AF705F">
      <w:pPr>
        <w:tabs>
          <w:tab w:val="left" w:pos="2835"/>
          <w:tab w:val="left" w:pos="6379"/>
        </w:tabs>
        <w:jc w:val="both"/>
        <w:rPr>
          <w:rFonts w:eastAsia="Calibri"/>
        </w:rPr>
      </w:pPr>
      <w:r w:rsidRPr="00DE1AD4">
        <w:rPr>
          <w:rFonts w:eastAsia="Calibri"/>
        </w:rPr>
        <w:tab/>
      </w:r>
      <w:r w:rsidRPr="00DE1AD4">
        <w:rPr>
          <w:rFonts w:eastAsia="Calibri"/>
        </w:rPr>
        <w:tab/>
      </w:r>
    </w:p>
    <w:p w:rsidR="00AF705F" w:rsidRPr="00DE1AD4" w:rsidRDefault="00AF705F" w:rsidP="00AF705F">
      <w:pPr>
        <w:tabs>
          <w:tab w:val="left" w:pos="2835"/>
          <w:tab w:val="left" w:pos="6379"/>
        </w:tabs>
        <w:jc w:val="both"/>
        <w:rPr>
          <w:rFonts w:eastAsia="Calibri"/>
        </w:rPr>
      </w:pPr>
    </w:p>
    <w:p w:rsidR="00AF705F" w:rsidRPr="00DE1AD4" w:rsidRDefault="00AF705F" w:rsidP="00AF705F">
      <w:pPr>
        <w:tabs>
          <w:tab w:val="left" w:pos="2835"/>
          <w:tab w:val="left" w:pos="6379"/>
        </w:tabs>
        <w:jc w:val="both"/>
        <w:rPr>
          <w:rFonts w:eastAsia="Calibri"/>
        </w:rPr>
      </w:pPr>
      <w:r w:rsidRPr="00DE1AD4">
        <w:rPr>
          <w:rFonts w:eastAsia="Calibri"/>
        </w:rPr>
        <w:t>Wiemann</w:t>
      </w:r>
      <w:r w:rsidRPr="00DE1AD4">
        <w:rPr>
          <w:rFonts w:eastAsia="Calibri"/>
        </w:rPr>
        <w:tab/>
        <w:t xml:space="preserve">Dr. </w:t>
      </w:r>
      <w:proofErr w:type="spellStart"/>
      <w:r w:rsidRPr="00DE1AD4">
        <w:rPr>
          <w:rFonts w:eastAsia="Calibri"/>
        </w:rPr>
        <w:t>Windmann</w:t>
      </w:r>
      <w:proofErr w:type="spellEnd"/>
      <w:r w:rsidRPr="00DE1AD4">
        <w:rPr>
          <w:rFonts w:eastAsia="Calibri"/>
        </w:rPr>
        <w:tab/>
        <w:t>Dr. Zimmermann</w:t>
      </w:r>
    </w:p>
    <w:p w:rsidR="00AF705F" w:rsidRDefault="00AF705F" w:rsidP="00AF705F">
      <w:pPr>
        <w:spacing w:after="240"/>
        <w:jc w:val="both"/>
      </w:pPr>
    </w:p>
    <w:p w:rsidR="00AF705F" w:rsidRDefault="00AF705F" w:rsidP="00AF705F">
      <w:pPr>
        <w:spacing w:after="240"/>
        <w:jc w:val="both"/>
      </w:pPr>
    </w:p>
    <w:p w:rsidR="00AF705F" w:rsidRDefault="00AF705F" w:rsidP="00AF705F">
      <w:pPr>
        <w:spacing w:after="240"/>
        <w:jc w:val="both"/>
      </w:pPr>
      <w:proofErr w:type="spellStart"/>
      <w:r>
        <w:t>VR’inLG</w:t>
      </w:r>
      <w:proofErr w:type="spellEnd"/>
      <w:r>
        <w:t xml:space="preserve"> Dr. Trautwein ist urlaubsbedingt an der Unterschriftsleistung gehindert.</w:t>
      </w:r>
    </w:p>
    <w:p w:rsidR="00DE1AD4" w:rsidRPr="004760A5" w:rsidRDefault="00AF705F">
      <w:pPr>
        <w:spacing w:after="240"/>
        <w:jc w:val="both"/>
      </w:pPr>
      <w:r>
        <w:t>Petermann</w:t>
      </w:r>
    </w:p>
    <w:sectPr w:rsidR="00DE1AD4" w:rsidRPr="004760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C2B23"/>
    <w:multiLevelType w:val="hybridMultilevel"/>
    <w:tmpl w:val="14CC4F3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E64F58"/>
    <w:multiLevelType w:val="hybridMultilevel"/>
    <w:tmpl w:val="9C84181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F0"/>
    <w:rsid w:val="00002D5A"/>
    <w:rsid w:val="0008462C"/>
    <w:rsid w:val="00117397"/>
    <w:rsid w:val="00191746"/>
    <w:rsid w:val="002113D8"/>
    <w:rsid w:val="00224FEB"/>
    <w:rsid w:val="002504C5"/>
    <w:rsid w:val="00254038"/>
    <w:rsid w:val="00260CEC"/>
    <w:rsid w:val="002741F7"/>
    <w:rsid w:val="0030394B"/>
    <w:rsid w:val="00315F30"/>
    <w:rsid w:val="003170AB"/>
    <w:rsid w:val="003C62B8"/>
    <w:rsid w:val="00410D88"/>
    <w:rsid w:val="00432261"/>
    <w:rsid w:val="004760A5"/>
    <w:rsid w:val="00483DE3"/>
    <w:rsid w:val="004B41F0"/>
    <w:rsid w:val="004B5B4E"/>
    <w:rsid w:val="004B73A8"/>
    <w:rsid w:val="0053550D"/>
    <w:rsid w:val="005624A7"/>
    <w:rsid w:val="005D5149"/>
    <w:rsid w:val="00630CE8"/>
    <w:rsid w:val="00655BAE"/>
    <w:rsid w:val="0066705D"/>
    <w:rsid w:val="0067319F"/>
    <w:rsid w:val="00703A38"/>
    <w:rsid w:val="0070593F"/>
    <w:rsid w:val="0074404F"/>
    <w:rsid w:val="00786B55"/>
    <w:rsid w:val="007A6C34"/>
    <w:rsid w:val="0084329C"/>
    <w:rsid w:val="009A4D48"/>
    <w:rsid w:val="009B572F"/>
    <w:rsid w:val="009D36B5"/>
    <w:rsid w:val="00A06FF0"/>
    <w:rsid w:val="00A11644"/>
    <w:rsid w:val="00AF705F"/>
    <w:rsid w:val="00B0176C"/>
    <w:rsid w:val="00B40E22"/>
    <w:rsid w:val="00B45E99"/>
    <w:rsid w:val="00B53386"/>
    <w:rsid w:val="00B923E5"/>
    <w:rsid w:val="00BA6584"/>
    <w:rsid w:val="00BD2BEC"/>
    <w:rsid w:val="00BE5408"/>
    <w:rsid w:val="00BF2AD7"/>
    <w:rsid w:val="00C07367"/>
    <w:rsid w:val="00C34B4B"/>
    <w:rsid w:val="00C3790F"/>
    <w:rsid w:val="00C73FA2"/>
    <w:rsid w:val="00CD294E"/>
    <w:rsid w:val="00CE3229"/>
    <w:rsid w:val="00CF62B9"/>
    <w:rsid w:val="00D03F7B"/>
    <w:rsid w:val="00D11DC1"/>
    <w:rsid w:val="00DC7EDC"/>
    <w:rsid w:val="00DE1AD4"/>
    <w:rsid w:val="00E50291"/>
    <w:rsid w:val="00E734C4"/>
    <w:rsid w:val="00E77DEA"/>
    <w:rsid w:val="00ED1826"/>
    <w:rsid w:val="00F11A88"/>
    <w:rsid w:val="00F51667"/>
    <w:rsid w:val="00FB7AC2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47741-90F4-4E7F-9BE6-B650E47D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20"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F0"/>
    <w:pPr>
      <w:spacing w:after="0" w:line="360" w:lineRule="auto"/>
    </w:pPr>
    <w:rPr>
      <w:rFonts w:cs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62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62B9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55B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5BA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5BAE"/>
    <w:rPr>
      <w:rFonts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5B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5BAE"/>
    <w:rPr>
      <w:rFonts w:cs="Arial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DC7ED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2FDFF9DF.dotm</Template>
  <TotalTime>0</TotalTime>
  <Pages>4</Pages>
  <Words>473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Riesenbeck, Tim</dc:creator>
  <cp:keywords/>
  <dc:description/>
  <cp:lastModifiedBy>Kölling, Laura-Ariane</cp:lastModifiedBy>
  <cp:revision>23</cp:revision>
  <cp:lastPrinted>2020-07-16T08:39:00Z</cp:lastPrinted>
  <dcterms:created xsi:type="dcterms:W3CDTF">2020-06-29T15:21:00Z</dcterms:created>
  <dcterms:modified xsi:type="dcterms:W3CDTF">2023-04-28T11:33:00Z</dcterms:modified>
</cp:coreProperties>
</file>