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F0" w:rsidRDefault="00A06FF0" w:rsidP="00A06FF0">
      <w:pPr>
        <w:outlineLvl w:val="0"/>
        <w:rPr>
          <w:b/>
        </w:rPr>
      </w:pPr>
      <w:r>
        <w:rPr>
          <w:b/>
        </w:rPr>
        <w:t>Das Präsidium des Landgerichts</w:t>
      </w:r>
    </w:p>
    <w:p w:rsidR="00A06FF0" w:rsidRDefault="00A06FF0" w:rsidP="00A06FF0">
      <w:pPr>
        <w:rPr>
          <w:b/>
        </w:rPr>
      </w:pPr>
      <w:r>
        <w:rPr>
          <w:b/>
        </w:rPr>
        <w:t>320 E – 50.65 (15)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</w:t>
      </w:r>
      <w:r w:rsidR="00C73FA2">
        <w:rPr>
          <w:b/>
        </w:rPr>
        <w:t xml:space="preserve">      </w:t>
      </w:r>
      <w:r w:rsidR="00C73FA2">
        <w:rPr>
          <w:b/>
        </w:rPr>
        <w:tab/>
      </w:r>
      <w:r w:rsidR="00C73FA2">
        <w:rPr>
          <w:b/>
        </w:rPr>
        <w:tab/>
      </w:r>
      <w:r w:rsidR="00C73FA2">
        <w:rPr>
          <w:b/>
        </w:rPr>
        <w:tab/>
        <w:t xml:space="preserve">        Bielefeld, den </w:t>
      </w:r>
      <w:r w:rsidR="008520F1">
        <w:rPr>
          <w:b/>
        </w:rPr>
        <w:t>31</w:t>
      </w:r>
      <w:r w:rsidR="00921155">
        <w:rPr>
          <w:b/>
        </w:rPr>
        <w:t>.08</w:t>
      </w:r>
      <w:r w:rsidRPr="00BF2AD7">
        <w:rPr>
          <w:b/>
        </w:rPr>
        <w:t>.2020</w:t>
      </w:r>
    </w:p>
    <w:p w:rsidR="00A06FF0" w:rsidRDefault="00A06FF0" w:rsidP="00A06FF0">
      <w:pPr>
        <w:rPr>
          <w:b/>
        </w:rPr>
      </w:pPr>
    </w:p>
    <w:p w:rsidR="00A06FF0" w:rsidRDefault="00B45E99" w:rsidP="00A06FF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8520F1">
        <w:rPr>
          <w:b/>
          <w:u w:val="single"/>
        </w:rPr>
        <w:t>3</w:t>
      </w:r>
      <w:r w:rsidR="00A06FF0">
        <w:rPr>
          <w:b/>
          <w:u w:val="single"/>
        </w:rPr>
        <w:t>. Änderungsbeschluss zur Geschäftsverteilung</w:t>
      </w:r>
    </w:p>
    <w:p w:rsidR="00A06FF0" w:rsidRDefault="00A06FF0" w:rsidP="00A06FF0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2020</w:t>
      </w:r>
    </w:p>
    <w:p w:rsidR="00A06FF0" w:rsidRDefault="00A06FF0" w:rsidP="004760A5">
      <w:pPr>
        <w:tabs>
          <w:tab w:val="left" w:pos="2835"/>
          <w:tab w:val="left" w:pos="6379"/>
        </w:tabs>
        <w:spacing w:after="240"/>
        <w:jc w:val="both"/>
      </w:pPr>
    </w:p>
    <w:p w:rsidR="00D74C0D" w:rsidRPr="00EA4931" w:rsidRDefault="008E047E" w:rsidP="007C2074">
      <w:pPr>
        <w:spacing w:after="240"/>
        <w:jc w:val="both"/>
      </w:pPr>
      <w:r>
        <w:rPr>
          <w:b/>
        </w:rPr>
        <w:t>pp.</w:t>
      </w:r>
      <w:bookmarkStart w:id="0" w:name="_GoBack"/>
      <w:bookmarkEnd w:id="0"/>
    </w:p>
    <w:p w:rsidR="00D815EE" w:rsidRDefault="00D815EE" w:rsidP="0070593F">
      <w:pPr>
        <w:spacing w:after="120"/>
        <w:jc w:val="both"/>
      </w:pPr>
    </w:p>
    <w:p w:rsidR="004760A5" w:rsidRDefault="004760A5" w:rsidP="0070593F">
      <w:pPr>
        <w:spacing w:after="120"/>
        <w:jc w:val="both"/>
      </w:pPr>
      <w:r>
        <w:t>Die Geschäftsverteilung wird aus diesen Gründen</w:t>
      </w:r>
      <w:r w:rsidR="008520F1">
        <w:t xml:space="preserve"> </w:t>
      </w:r>
      <w:r w:rsidR="008520F1">
        <w:rPr>
          <w:b/>
        </w:rPr>
        <w:t>mit Wirkung zum 01.09.2020</w:t>
      </w:r>
      <w:r>
        <w:t xml:space="preserve"> wie folgt geändert:</w:t>
      </w:r>
    </w:p>
    <w:p w:rsidR="00FB7AC2" w:rsidRDefault="00FB7AC2" w:rsidP="0070593F">
      <w:pPr>
        <w:spacing w:after="120"/>
        <w:jc w:val="both"/>
      </w:pPr>
    </w:p>
    <w:p w:rsidR="004C476D" w:rsidRDefault="00BD2BEC" w:rsidP="008520F1">
      <w:pPr>
        <w:spacing w:after="120"/>
        <w:jc w:val="both"/>
      </w:pPr>
      <w:r>
        <w:t>1.</w:t>
      </w:r>
    </w:p>
    <w:p w:rsidR="004C476D" w:rsidRPr="00EA4931" w:rsidRDefault="004C476D" w:rsidP="004C476D">
      <w:pPr>
        <w:spacing w:after="240"/>
        <w:jc w:val="both"/>
      </w:pPr>
      <w:r w:rsidRPr="00EA4931">
        <w:t xml:space="preserve">Zur vorübergehenden Entlastung </w:t>
      </w:r>
      <w:r>
        <w:t xml:space="preserve">der 9. großen Strafkammer </w:t>
      </w:r>
      <w:r w:rsidRPr="00EA4931">
        <w:t xml:space="preserve">wird eine Hilfsstrafkammer (Strafkammer </w:t>
      </w:r>
      <w:r>
        <w:t>9</w:t>
      </w:r>
      <w:r w:rsidRPr="00EA4931">
        <w:t xml:space="preserve">a) eingerichtet. Die Hilfsstrafkammer bleibt bis zur Erledigung aller ihr übertragenen Verfahren bestehen. </w:t>
      </w:r>
    </w:p>
    <w:p w:rsidR="008C3648" w:rsidRDefault="004C476D" w:rsidP="007F5668">
      <w:pPr>
        <w:spacing w:after="240"/>
        <w:jc w:val="both"/>
      </w:pPr>
      <w:r w:rsidRPr="00EA4931">
        <w:t xml:space="preserve">Die Strafkammer </w:t>
      </w:r>
      <w:r>
        <w:t>9</w:t>
      </w:r>
      <w:r w:rsidRPr="00EA4931">
        <w:t xml:space="preserve">a übernimmt </w:t>
      </w:r>
      <w:r w:rsidR="008C3648">
        <w:t>aus dem Bestand der 9. großen Strafkammer die drei ältesten Verfahren.</w:t>
      </w:r>
    </w:p>
    <w:p w:rsidR="004C476D" w:rsidRDefault="004C476D" w:rsidP="004C476D">
      <w:pPr>
        <w:spacing w:after="240"/>
        <w:jc w:val="both"/>
      </w:pPr>
      <w:r w:rsidRPr="00EA4931">
        <w:t>Die Mitglieder der Strafkammer werden vertreten durch die Mitglieder der</w:t>
      </w:r>
      <w:r>
        <w:t xml:space="preserve"> 9. großen</w:t>
      </w:r>
      <w:r w:rsidRPr="00EA4931">
        <w:t xml:space="preserve"> Strafkammer, danach durch die Mitglieder der</w:t>
      </w:r>
      <w:r w:rsidR="00592331">
        <w:t xml:space="preserve"> 10., 4., 1., 2., 3. und 20. Großen Strafkammer</w:t>
      </w:r>
      <w:r w:rsidRPr="00592331">
        <w:t>.</w:t>
      </w:r>
    </w:p>
    <w:p w:rsidR="008520F1" w:rsidRDefault="008520F1" w:rsidP="008520F1">
      <w:pPr>
        <w:spacing w:after="240"/>
        <w:jc w:val="both"/>
      </w:pPr>
      <w:r>
        <w:t>2.</w:t>
      </w:r>
    </w:p>
    <w:p w:rsidR="00D05F1C" w:rsidRDefault="004C476D" w:rsidP="00D05F1C">
      <w:pPr>
        <w:spacing w:after="240"/>
        <w:jc w:val="both"/>
      </w:pPr>
      <w:r w:rsidRPr="00EA4931">
        <w:t xml:space="preserve">Vorsitzender Richter am Landgericht </w:t>
      </w:r>
      <w:r>
        <w:rPr>
          <w:b/>
        </w:rPr>
        <w:t>Niesten-Dietrich</w:t>
      </w:r>
      <w:r w:rsidRPr="00EA4931">
        <w:t xml:space="preserve"> scheidet mit 0,1 seiner Arbeitskraft aus der </w:t>
      </w:r>
      <w:r>
        <w:t>21</w:t>
      </w:r>
      <w:r w:rsidRPr="00EA4931">
        <w:t>.</w:t>
      </w:r>
      <w:r>
        <w:t xml:space="preserve"> großen</w:t>
      </w:r>
      <w:r w:rsidRPr="00EA4931">
        <w:t xml:space="preserve"> Strafkammer aus und tritt insoweit in die Strafkammer </w:t>
      </w:r>
      <w:r>
        <w:t>9</w:t>
      </w:r>
      <w:r w:rsidRPr="00EA4931">
        <w:t>a ein, deren Vorsitz er übernimmt.</w:t>
      </w:r>
    </w:p>
    <w:p w:rsidR="004C476D" w:rsidRPr="00EA4931" w:rsidRDefault="004C476D" w:rsidP="00D05F1C">
      <w:pPr>
        <w:spacing w:after="240"/>
        <w:jc w:val="both"/>
      </w:pPr>
      <w:r w:rsidRPr="00EA4931">
        <w:t xml:space="preserve">Richter am Landgericht </w:t>
      </w:r>
      <w:r w:rsidRPr="00EA4931">
        <w:rPr>
          <w:b/>
        </w:rPr>
        <w:t xml:space="preserve">Dr. </w:t>
      </w:r>
      <w:r>
        <w:rPr>
          <w:b/>
        </w:rPr>
        <w:t>Tyczynski</w:t>
      </w:r>
      <w:r w:rsidRPr="00EA4931">
        <w:t xml:space="preserve"> scheidet mit 0,1 seiner Arbeitskraft aus der </w:t>
      </w:r>
      <w:r>
        <w:t>21</w:t>
      </w:r>
      <w:r w:rsidRPr="00EA4931">
        <w:t>.</w:t>
      </w:r>
      <w:r>
        <w:t> großen</w:t>
      </w:r>
      <w:r w:rsidRPr="00EA4931">
        <w:t xml:space="preserve"> Strafkammer aus und wird insoweit der Strafkammer </w:t>
      </w:r>
      <w:r>
        <w:t>9</w:t>
      </w:r>
      <w:r w:rsidRPr="00EA4931">
        <w:t>a zugewiesen, deren stellvertretenden Vorsitz er übernimmt.</w:t>
      </w:r>
    </w:p>
    <w:p w:rsidR="004C476D" w:rsidRPr="00EA4931" w:rsidRDefault="004C476D" w:rsidP="004C476D">
      <w:pPr>
        <w:jc w:val="both"/>
      </w:pPr>
      <w:r w:rsidRPr="00EA4931">
        <w:t xml:space="preserve">Richterin am Landgericht </w:t>
      </w:r>
      <w:r>
        <w:rPr>
          <w:b/>
        </w:rPr>
        <w:t>Dr. Bolte</w:t>
      </w:r>
      <w:r w:rsidRPr="00EA4931">
        <w:t xml:space="preserve"> scheidet mit 0,1 ihrer Arbeitskraft aus der </w:t>
      </w:r>
      <w:r w:rsidR="00835A0F">
        <w:t>21</w:t>
      </w:r>
      <w:r w:rsidRPr="00EA4931">
        <w:t xml:space="preserve">. Strafkammer aus und tritt insoweit in die Strafkammer </w:t>
      </w:r>
      <w:r w:rsidR="00835A0F">
        <w:t>9</w:t>
      </w:r>
      <w:r w:rsidRPr="00EA4931">
        <w:t>a ein.</w:t>
      </w:r>
    </w:p>
    <w:p w:rsidR="004B5B4E" w:rsidRDefault="004B5B4E" w:rsidP="00630CE8">
      <w:pPr>
        <w:spacing w:after="120"/>
        <w:jc w:val="both"/>
      </w:pPr>
    </w:p>
    <w:p w:rsidR="00D815EE" w:rsidRDefault="00D815EE">
      <w:pPr>
        <w:spacing w:after="120" w:line="320" w:lineRule="atLeast"/>
        <w:rPr>
          <w:b/>
        </w:rPr>
      </w:pPr>
      <w:r>
        <w:rPr>
          <w:b/>
        </w:rPr>
        <w:br w:type="page"/>
      </w:r>
    </w:p>
    <w:p w:rsidR="00845FE0" w:rsidRPr="00845FE0" w:rsidRDefault="00845FE0" w:rsidP="00845FE0">
      <w:pPr>
        <w:spacing w:after="120"/>
        <w:jc w:val="center"/>
        <w:rPr>
          <w:b/>
        </w:rPr>
      </w:pPr>
      <w:r w:rsidRPr="00845FE0">
        <w:rPr>
          <w:b/>
        </w:rPr>
        <w:lastRenderedPageBreak/>
        <w:t>B.</w:t>
      </w:r>
    </w:p>
    <w:p w:rsidR="00845FE0" w:rsidRDefault="00845FE0" w:rsidP="00845FE0">
      <w:pPr>
        <w:jc w:val="both"/>
        <w:rPr>
          <w:rFonts w:eastAsia="Calibri"/>
        </w:rPr>
      </w:pPr>
      <w:r w:rsidRPr="00AD35E9">
        <w:rPr>
          <w:rFonts w:eastAsia="Calibri"/>
        </w:rPr>
        <w:t xml:space="preserve">Die </w:t>
      </w:r>
      <w:r>
        <w:rPr>
          <w:rFonts w:eastAsia="Calibri"/>
        </w:rPr>
        <w:t>2. und die 9.</w:t>
      </w:r>
      <w:r w:rsidRPr="00AD35E9">
        <w:rPr>
          <w:rFonts w:eastAsia="Calibri"/>
        </w:rPr>
        <w:t xml:space="preserve"> Zivilkammer </w:t>
      </w:r>
      <w:r>
        <w:rPr>
          <w:rFonts w:eastAsia="Calibri"/>
        </w:rPr>
        <w:t>sind jeweils</w:t>
      </w:r>
      <w:r w:rsidRPr="00AD35E9">
        <w:rPr>
          <w:rFonts w:eastAsia="Calibri"/>
        </w:rPr>
        <w:t xml:space="preserve"> infolge unerwartet hoher Eingänge überlastet. Zu ihrer Entlastung und zur Gewährleistung </w:t>
      </w:r>
      <w:r>
        <w:rPr>
          <w:rFonts w:eastAsia="Calibri"/>
        </w:rPr>
        <w:t>einer</w:t>
      </w:r>
      <w:r w:rsidRPr="00AD35E9">
        <w:rPr>
          <w:rFonts w:eastAsia="Calibri"/>
        </w:rPr>
        <w:t xml:space="preserve"> gleichmäßigen Belastung </w:t>
      </w:r>
      <w:r>
        <w:rPr>
          <w:rFonts w:eastAsia="Calibri"/>
        </w:rPr>
        <w:t>sämtlicher</w:t>
      </w:r>
      <w:r w:rsidRPr="00AD35E9">
        <w:rPr>
          <w:rFonts w:eastAsia="Calibri"/>
        </w:rPr>
        <w:t xml:space="preserve"> Zivilkammern über</w:t>
      </w:r>
      <w:r>
        <w:rPr>
          <w:rFonts w:eastAsia="Calibri"/>
        </w:rPr>
        <w:t xml:space="preserve">nehmen </w:t>
      </w:r>
    </w:p>
    <w:p w:rsidR="00845FE0" w:rsidRDefault="00845FE0" w:rsidP="00845FE0">
      <w:pPr>
        <w:jc w:val="both"/>
        <w:rPr>
          <w:rFonts w:eastAsia="Calibri"/>
        </w:rPr>
      </w:pPr>
    </w:p>
    <w:p w:rsidR="00845FE0" w:rsidRPr="00D4383E" w:rsidRDefault="00845FE0" w:rsidP="00845FE0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4383E">
        <w:rPr>
          <w:rFonts w:ascii="Arial" w:eastAsia="Calibri" w:hAnsi="Arial" w:cs="Arial"/>
          <w:sz w:val="24"/>
          <w:szCs w:val="24"/>
        </w:rPr>
        <w:t xml:space="preserve">die 19. Zivilkammer die ersten </w:t>
      </w:r>
      <w:r>
        <w:rPr>
          <w:rFonts w:ascii="Arial" w:eastAsia="Calibri" w:hAnsi="Arial" w:cs="Arial"/>
          <w:sz w:val="24"/>
          <w:szCs w:val="24"/>
        </w:rPr>
        <w:t>15</w:t>
      </w:r>
      <w:r w:rsidRPr="00D4383E">
        <w:rPr>
          <w:rFonts w:ascii="Arial" w:eastAsia="Calibri" w:hAnsi="Arial" w:cs="Arial"/>
          <w:sz w:val="24"/>
          <w:szCs w:val="24"/>
        </w:rPr>
        <w:t xml:space="preserve"> der ab dem 01.0</w:t>
      </w:r>
      <w:r>
        <w:rPr>
          <w:rFonts w:ascii="Arial" w:eastAsia="Calibri" w:hAnsi="Arial" w:cs="Arial"/>
          <w:sz w:val="24"/>
          <w:szCs w:val="24"/>
        </w:rPr>
        <w:t>9</w:t>
      </w:r>
      <w:r w:rsidRPr="00D4383E">
        <w:rPr>
          <w:rFonts w:ascii="Arial" w:eastAsia="Calibri" w:hAnsi="Arial" w:cs="Arial"/>
          <w:sz w:val="24"/>
          <w:szCs w:val="24"/>
        </w:rPr>
        <w:t>.2020 eingehenden unter B.</w:t>
      </w:r>
      <w:r>
        <w:rPr>
          <w:rFonts w:ascii="Arial" w:eastAsia="Calibri" w:hAnsi="Arial" w:cs="Arial"/>
          <w:sz w:val="24"/>
          <w:szCs w:val="24"/>
        </w:rPr>
        <w:t> </w:t>
      </w:r>
      <w:r w:rsidRPr="00D4383E">
        <w:rPr>
          <w:rFonts w:ascii="Arial" w:eastAsia="Calibri" w:hAnsi="Arial" w:cs="Arial"/>
          <w:sz w:val="24"/>
          <w:szCs w:val="24"/>
        </w:rPr>
        <w:t>I.</w:t>
      </w:r>
      <w:r>
        <w:rPr>
          <w:rFonts w:ascii="Arial" w:eastAsia="Calibri" w:hAnsi="Arial" w:cs="Arial"/>
          <w:sz w:val="24"/>
          <w:szCs w:val="24"/>
        </w:rPr>
        <w:t> 1. b) (2)</w:t>
      </w:r>
      <w:r w:rsidRPr="00D4383E">
        <w:rPr>
          <w:rFonts w:ascii="Arial" w:eastAsia="Calibri" w:hAnsi="Arial" w:cs="Arial"/>
          <w:sz w:val="24"/>
          <w:szCs w:val="24"/>
        </w:rPr>
        <w:t xml:space="preserve"> des Geschäftsverteilungsplans des Landgerichts Bielefeld für das Jahr 2020</w:t>
      </w:r>
      <w:r>
        <w:rPr>
          <w:rFonts w:ascii="Arial" w:eastAsia="Calibri" w:hAnsi="Arial" w:cs="Arial"/>
          <w:sz w:val="24"/>
          <w:szCs w:val="24"/>
        </w:rPr>
        <w:t xml:space="preserve"> der 2</w:t>
      </w:r>
      <w:r w:rsidRPr="00D4383E">
        <w:rPr>
          <w:rFonts w:ascii="Arial" w:eastAsia="Calibri" w:hAnsi="Arial" w:cs="Arial"/>
          <w:sz w:val="24"/>
          <w:szCs w:val="24"/>
        </w:rPr>
        <w:t xml:space="preserve">. Zivilkammer zugewiesenen Zivilsachen </w:t>
      </w:r>
      <w:r w:rsidRPr="00E31214">
        <w:rPr>
          <w:rFonts w:ascii="Arial" w:eastAsia="Calibri" w:hAnsi="Arial" w:cs="Arial"/>
          <w:sz w:val="24"/>
          <w:szCs w:val="24"/>
        </w:rPr>
        <w:t>(</w:t>
      </w:r>
      <w:r w:rsidRPr="004F33F2">
        <w:rPr>
          <w:rFonts w:ascii="Arial" w:hAnsi="Arial" w:cs="Arial"/>
          <w:sz w:val="24"/>
          <w:szCs w:val="24"/>
        </w:rPr>
        <w:t xml:space="preserve">andere Rechtsstreitigkeiten im ersten Rechtszug aus dem Amtsgerichtsbezirk </w:t>
      </w:r>
      <w:r w:rsidRPr="00E31214">
        <w:rPr>
          <w:rFonts w:ascii="Arial" w:eastAsia="Calibri" w:hAnsi="Arial" w:cs="Arial"/>
          <w:sz w:val="24"/>
          <w:szCs w:val="24"/>
        </w:rPr>
        <w:t>Bielefeld mit den Anfangsbuchstaben D, I, J, L, P, Q, R, U, W, X, Y und Z des Beklagtennamens und aus dem Amtsgerichtsbezirk Rahden, jeweils soweit nicht Spezialzuständigkeiten nach Sachgebieten bestehen)</w:t>
      </w:r>
      <w:r w:rsidRPr="00D4383E">
        <w:rPr>
          <w:rFonts w:ascii="Arial" w:eastAsia="Calibri" w:hAnsi="Arial" w:cs="Arial"/>
          <w:sz w:val="24"/>
          <w:szCs w:val="24"/>
        </w:rPr>
        <w:t>,</w:t>
      </w:r>
    </w:p>
    <w:p w:rsidR="00845FE0" w:rsidRPr="004F33F2" w:rsidRDefault="00845FE0" w:rsidP="00845FE0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465BF">
        <w:rPr>
          <w:rFonts w:ascii="Arial" w:eastAsia="Calibri" w:hAnsi="Arial" w:cs="Arial"/>
          <w:sz w:val="24"/>
          <w:szCs w:val="24"/>
        </w:rPr>
        <w:t xml:space="preserve">die </w:t>
      </w:r>
      <w:r>
        <w:rPr>
          <w:rFonts w:ascii="Arial" w:eastAsia="Calibri" w:hAnsi="Arial" w:cs="Arial"/>
          <w:sz w:val="24"/>
          <w:szCs w:val="24"/>
        </w:rPr>
        <w:t>4</w:t>
      </w:r>
      <w:r w:rsidRPr="003465BF">
        <w:rPr>
          <w:rFonts w:ascii="Arial" w:eastAsia="Calibri" w:hAnsi="Arial" w:cs="Arial"/>
          <w:sz w:val="24"/>
          <w:szCs w:val="24"/>
        </w:rPr>
        <w:t xml:space="preserve">. Zivilkammer </w:t>
      </w:r>
      <w:r>
        <w:rPr>
          <w:rFonts w:ascii="Arial" w:eastAsia="Calibri" w:hAnsi="Arial" w:cs="Arial"/>
          <w:sz w:val="24"/>
          <w:szCs w:val="24"/>
        </w:rPr>
        <w:t xml:space="preserve">die ersten 25 der ab dem 01.09.2020 </w:t>
      </w:r>
      <w:r w:rsidRPr="00545EA4">
        <w:rPr>
          <w:rFonts w:ascii="Arial" w:eastAsia="Calibri" w:hAnsi="Arial" w:cs="Arial"/>
          <w:sz w:val="24"/>
          <w:szCs w:val="24"/>
        </w:rPr>
        <w:t>eingehenden unter B.</w:t>
      </w:r>
      <w:r>
        <w:rPr>
          <w:rFonts w:ascii="Arial" w:eastAsia="Calibri" w:hAnsi="Arial" w:cs="Arial"/>
          <w:sz w:val="24"/>
          <w:szCs w:val="24"/>
        </w:rPr>
        <w:t> </w:t>
      </w:r>
      <w:r w:rsidRPr="00545EA4">
        <w:rPr>
          <w:rFonts w:ascii="Arial" w:eastAsia="Calibri" w:hAnsi="Arial" w:cs="Arial"/>
          <w:sz w:val="24"/>
          <w:szCs w:val="24"/>
        </w:rPr>
        <w:t>I.</w:t>
      </w:r>
      <w:r>
        <w:rPr>
          <w:rFonts w:ascii="Arial" w:eastAsia="Calibri" w:hAnsi="Arial" w:cs="Arial"/>
          <w:sz w:val="24"/>
          <w:szCs w:val="24"/>
        </w:rPr>
        <w:t> 1. i) (2)</w:t>
      </w:r>
      <w:r w:rsidRPr="00545EA4">
        <w:rPr>
          <w:rFonts w:ascii="Arial" w:eastAsia="Calibri" w:hAnsi="Arial" w:cs="Arial"/>
          <w:sz w:val="24"/>
          <w:szCs w:val="24"/>
        </w:rPr>
        <w:t xml:space="preserve"> des Geschäftsverteilungsplans des Landgerichts Bielefeld für das Jahr 20</w:t>
      </w:r>
      <w:r>
        <w:rPr>
          <w:rFonts w:ascii="Arial" w:eastAsia="Calibri" w:hAnsi="Arial" w:cs="Arial"/>
          <w:sz w:val="24"/>
          <w:szCs w:val="24"/>
        </w:rPr>
        <w:t xml:space="preserve">20 </w:t>
      </w:r>
      <w:r w:rsidRPr="004F33F2">
        <w:rPr>
          <w:rFonts w:ascii="Arial" w:eastAsia="Calibri" w:hAnsi="Arial" w:cs="Arial"/>
          <w:sz w:val="24"/>
          <w:szCs w:val="24"/>
        </w:rPr>
        <w:t xml:space="preserve">der </w:t>
      </w:r>
      <w:r>
        <w:rPr>
          <w:rFonts w:ascii="Arial" w:eastAsia="Calibri" w:hAnsi="Arial" w:cs="Arial"/>
          <w:sz w:val="24"/>
          <w:szCs w:val="24"/>
        </w:rPr>
        <w:t>9</w:t>
      </w:r>
      <w:r w:rsidRPr="004F33F2">
        <w:rPr>
          <w:rFonts w:ascii="Arial" w:eastAsia="Calibri" w:hAnsi="Arial" w:cs="Arial"/>
          <w:sz w:val="24"/>
          <w:szCs w:val="24"/>
        </w:rPr>
        <w:t xml:space="preserve">. Zivilkammer zugewiesenen Zivilsachen </w:t>
      </w:r>
      <w:r w:rsidRPr="004F33F2">
        <w:rPr>
          <w:rFonts w:ascii="Arial" w:hAnsi="Arial" w:cs="Arial"/>
          <w:sz w:val="24"/>
          <w:szCs w:val="24"/>
        </w:rPr>
        <w:t xml:space="preserve">(andere Rechtsstreitigkeiten im ersten Rechtszug aus dem Amtsgerichtsbezirk Bielefeld mit dem Anfangsbuchstaben V des Beklagtennamens </w:t>
      </w:r>
      <w:r>
        <w:rPr>
          <w:rFonts w:ascii="Arial" w:hAnsi="Arial" w:cs="Arial"/>
          <w:sz w:val="24"/>
          <w:szCs w:val="24"/>
        </w:rPr>
        <w:t>und</w:t>
      </w:r>
      <w:r w:rsidRPr="004F33F2">
        <w:rPr>
          <w:rFonts w:ascii="Arial" w:hAnsi="Arial" w:cs="Arial"/>
          <w:sz w:val="24"/>
          <w:szCs w:val="24"/>
        </w:rPr>
        <w:t xml:space="preserve"> aus dem Amtsgerichtsbezirk Rheda-Wiedenbrück</w:t>
      </w:r>
      <w:r>
        <w:rPr>
          <w:rFonts w:ascii="Arial" w:hAnsi="Arial" w:cs="Arial"/>
          <w:sz w:val="24"/>
          <w:szCs w:val="24"/>
        </w:rPr>
        <w:t xml:space="preserve"> mit den Anfangsbuchstaben L bis Z</w:t>
      </w:r>
      <w:r w:rsidRPr="004F33F2">
        <w:rPr>
          <w:rFonts w:ascii="Arial" w:hAnsi="Arial" w:cs="Arial"/>
          <w:sz w:val="24"/>
          <w:szCs w:val="24"/>
        </w:rPr>
        <w:t>, jeweils soweit nicht Spezialzuständigkeiten nach Sachgebieten bestehen).</w:t>
      </w:r>
    </w:p>
    <w:p w:rsidR="00845FE0" w:rsidRDefault="00845FE0" w:rsidP="00630CE8">
      <w:pPr>
        <w:spacing w:after="120"/>
        <w:jc w:val="both"/>
      </w:pPr>
    </w:p>
    <w:p w:rsidR="00C3049D" w:rsidRDefault="00C3049D" w:rsidP="00630CE8">
      <w:pPr>
        <w:spacing w:after="120"/>
        <w:jc w:val="both"/>
      </w:pPr>
    </w:p>
    <w:p w:rsidR="00DE1AD4" w:rsidRPr="00DE1AD4" w:rsidRDefault="009D36B5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Petermann</w:t>
      </w:r>
      <w:r w:rsidR="00DE1AD4" w:rsidRPr="00DE1AD4">
        <w:rPr>
          <w:rFonts w:eastAsia="Calibri"/>
        </w:rPr>
        <w:tab/>
        <w:t>Dr. Misera</w:t>
      </w:r>
      <w:r w:rsidR="00DE1AD4" w:rsidRPr="00DE1AD4">
        <w:rPr>
          <w:rFonts w:eastAsia="Calibri"/>
        </w:rPr>
        <w:tab/>
        <w:t>Müller</w:t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ab/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Nabel</w:t>
      </w:r>
      <w:r w:rsidRPr="00DE1AD4">
        <w:rPr>
          <w:rFonts w:eastAsia="Calibri"/>
        </w:rPr>
        <w:tab/>
        <w:t>Schröder</w:t>
      </w:r>
      <w:r w:rsidRPr="00DE1AD4">
        <w:rPr>
          <w:rFonts w:eastAsia="Calibri"/>
        </w:rPr>
        <w:tab/>
        <w:t>Dr. Trautwein</w:t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ab/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Wiemann</w:t>
      </w:r>
      <w:r w:rsidRPr="00DE1AD4">
        <w:rPr>
          <w:rFonts w:eastAsia="Calibri"/>
        </w:rPr>
        <w:tab/>
        <w:t>Dr. Windmann</w:t>
      </w:r>
      <w:r w:rsidRPr="00DE1AD4">
        <w:rPr>
          <w:rFonts w:eastAsia="Calibri"/>
        </w:rPr>
        <w:tab/>
        <w:t>Dr. Zimmermann</w:t>
      </w:r>
    </w:p>
    <w:p w:rsidR="00814F58" w:rsidRDefault="00814F58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814F58" w:rsidRDefault="00814F58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814F58" w:rsidRPr="00DE1AD4" w:rsidRDefault="00814F58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VRLG Schröder ist urlaubsbedingt an der Unterschriftsleistung gehindert.</w:t>
      </w:r>
    </w:p>
    <w:sectPr w:rsidR="00814F58" w:rsidRPr="00DE1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C2B23"/>
    <w:multiLevelType w:val="hybridMultilevel"/>
    <w:tmpl w:val="14CC4F3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E64F58"/>
    <w:multiLevelType w:val="hybridMultilevel"/>
    <w:tmpl w:val="9C8418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F0"/>
    <w:rsid w:val="00002D5A"/>
    <w:rsid w:val="00056A37"/>
    <w:rsid w:val="0008462C"/>
    <w:rsid w:val="00117397"/>
    <w:rsid w:val="00191746"/>
    <w:rsid w:val="002113D8"/>
    <w:rsid w:val="00224FEB"/>
    <w:rsid w:val="002504C5"/>
    <w:rsid w:val="00254038"/>
    <w:rsid w:val="00260CEC"/>
    <w:rsid w:val="002741F7"/>
    <w:rsid w:val="0030394B"/>
    <w:rsid w:val="00315F30"/>
    <w:rsid w:val="003170AB"/>
    <w:rsid w:val="003C62B8"/>
    <w:rsid w:val="003F0ECA"/>
    <w:rsid w:val="00410D88"/>
    <w:rsid w:val="00432261"/>
    <w:rsid w:val="004760A5"/>
    <w:rsid w:val="00483DE3"/>
    <w:rsid w:val="004B41F0"/>
    <w:rsid w:val="004B5B4E"/>
    <w:rsid w:val="004B73A8"/>
    <w:rsid w:val="004C476D"/>
    <w:rsid w:val="0053550D"/>
    <w:rsid w:val="005624A7"/>
    <w:rsid w:val="00592331"/>
    <w:rsid w:val="005D5149"/>
    <w:rsid w:val="00630CE8"/>
    <w:rsid w:val="00655BAE"/>
    <w:rsid w:val="0066705D"/>
    <w:rsid w:val="0067319F"/>
    <w:rsid w:val="00703A38"/>
    <w:rsid w:val="0070593F"/>
    <w:rsid w:val="0074404F"/>
    <w:rsid w:val="00752B89"/>
    <w:rsid w:val="00786B55"/>
    <w:rsid w:val="007A6C34"/>
    <w:rsid w:val="007C2074"/>
    <w:rsid w:val="007F5668"/>
    <w:rsid w:val="007F5689"/>
    <w:rsid w:val="00814F58"/>
    <w:rsid w:val="00835A0F"/>
    <w:rsid w:val="0084329C"/>
    <w:rsid w:val="00845FE0"/>
    <w:rsid w:val="008520F1"/>
    <w:rsid w:val="008C3648"/>
    <w:rsid w:val="008E047E"/>
    <w:rsid w:val="00902A37"/>
    <w:rsid w:val="00921155"/>
    <w:rsid w:val="009A2062"/>
    <w:rsid w:val="009B572F"/>
    <w:rsid w:val="009D36B5"/>
    <w:rsid w:val="00A06FF0"/>
    <w:rsid w:val="00A11644"/>
    <w:rsid w:val="00B0176C"/>
    <w:rsid w:val="00B332BA"/>
    <w:rsid w:val="00B3339B"/>
    <w:rsid w:val="00B40E22"/>
    <w:rsid w:val="00B45E99"/>
    <w:rsid w:val="00B53386"/>
    <w:rsid w:val="00B923E5"/>
    <w:rsid w:val="00BA6584"/>
    <w:rsid w:val="00BD2BEC"/>
    <w:rsid w:val="00BE5408"/>
    <w:rsid w:val="00BF2AD7"/>
    <w:rsid w:val="00BF34F3"/>
    <w:rsid w:val="00C07367"/>
    <w:rsid w:val="00C3049D"/>
    <w:rsid w:val="00C34B4B"/>
    <w:rsid w:val="00C3790F"/>
    <w:rsid w:val="00C73FA2"/>
    <w:rsid w:val="00CD294E"/>
    <w:rsid w:val="00CE3229"/>
    <w:rsid w:val="00CF62B9"/>
    <w:rsid w:val="00D03F7B"/>
    <w:rsid w:val="00D05F1C"/>
    <w:rsid w:val="00D11DC1"/>
    <w:rsid w:val="00D27957"/>
    <w:rsid w:val="00D74C0D"/>
    <w:rsid w:val="00D815EE"/>
    <w:rsid w:val="00DC7EDC"/>
    <w:rsid w:val="00DE1AD4"/>
    <w:rsid w:val="00E157F0"/>
    <w:rsid w:val="00E50291"/>
    <w:rsid w:val="00E734C4"/>
    <w:rsid w:val="00E77DEA"/>
    <w:rsid w:val="00ED1826"/>
    <w:rsid w:val="00F11A88"/>
    <w:rsid w:val="00F51667"/>
    <w:rsid w:val="00FB7AC2"/>
    <w:rsid w:val="00FD597D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7741-90F4-4E7F-9BE6-B650E47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F0"/>
    <w:pPr>
      <w:spacing w:after="0" w:line="360" w:lineRule="auto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2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2B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5B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B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BAE"/>
    <w:rPr>
      <w:rFonts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B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BAE"/>
    <w:rPr>
      <w:rFonts w:cs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C7ED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B0402648.dotm</Template>
  <TotalTime>0</TotalTime>
  <Pages>3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Riesenbeck, Tim</dc:creator>
  <cp:keywords/>
  <dc:description/>
  <cp:lastModifiedBy>Kölling, Laura-Ariane</cp:lastModifiedBy>
  <cp:revision>6</cp:revision>
  <cp:lastPrinted>2020-08-31T12:13:00Z</cp:lastPrinted>
  <dcterms:created xsi:type="dcterms:W3CDTF">2020-08-31T12:13:00Z</dcterms:created>
  <dcterms:modified xsi:type="dcterms:W3CDTF">2023-04-28T11:36:00Z</dcterms:modified>
</cp:coreProperties>
</file>