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 xml:space="preserve">320 E – 50. </w:t>
      </w:r>
      <w:r w:rsidR="00AC75C0">
        <w:rPr>
          <w:rFonts w:cs="Arial"/>
          <w:b/>
          <w:szCs w:val="24"/>
        </w:rPr>
        <w:t>624</w:t>
      </w:r>
      <w:r w:rsidRPr="008A676C">
        <w:rPr>
          <w:rFonts w:cs="Arial"/>
          <w:b/>
          <w:szCs w:val="24"/>
        </w:rPr>
        <w:t xml:space="preserve"> 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 xml:space="preserve">Bielefeld, den </w:t>
      </w:r>
      <w:r w:rsidR="00AC75C0">
        <w:rPr>
          <w:rFonts w:cs="Arial"/>
          <w:b/>
          <w:szCs w:val="24"/>
        </w:rPr>
        <w:t>16.</w:t>
      </w:r>
      <w:r w:rsidRPr="008A676C">
        <w:rPr>
          <w:rFonts w:cs="Arial"/>
          <w:b/>
          <w:szCs w:val="24"/>
        </w:rPr>
        <w:t>06.2015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10.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444857" w:rsidRPr="008A676C" w:rsidRDefault="00444857" w:rsidP="008A676C">
      <w:pPr>
        <w:spacing w:line="319" w:lineRule="auto"/>
        <w:rPr>
          <w:rFonts w:cs="Arial"/>
          <w:szCs w:val="24"/>
        </w:rPr>
      </w:pPr>
    </w:p>
    <w:p w:rsidR="00FA3D0C" w:rsidRPr="008A676C" w:rsidRDefault="00FA3D0C" w:rsidP="008A676C">
      <w:pPr>
        <w:spacing w:line="319" w:lineRule="auto"/>
        <w:rPr>
          <w:rFonts w:cs="Arial"/>
          <w:szCs w:val="24"/>
        </w:rPr>
      </w:pPr>
    </w:p>
    <w:p w:rsidR="00FA3D0C" w:rsidRPr="008A676C" w:rsidRDefault="00FA3D0C" w:rsidP="008A676C">
      <w:pPr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am Landgericht </w:t>
      </w:r>
      <w:r w:rsidRPr="008A676C">
        <w:rPr>
          <w:rFonts w:cs="Arial"/>
          <w:b/>
          <w:szCs w:val="24"/>
        </w:rPr>
        <w:t>Uhlhorn</w:t>
      </w:r>
      <w:r w:rsidRPr="008A676C">
        <w:rPr>
          <w:rFonts w:cs="Arial"/>
          <w:szCs w:val="24"/>
        </w:rPr>
        <w:t xml:space="preserve"> ist für die Zeit vom 17.06.2015 bis zum 17.07.2015 Elternzeit bewilligt. Mit Wirkung vom 20.07.2015 ist er zum Zwecke der Erprobung an das Oberlandesgericht Hamm abgeordnet.</w:t>
      </w:r>
    </w:p>
    <w:p w:rsidR="002A2F92" w:rsidRPr="008A676C" w:rsidRDefault="002A2F92" w:rsidP="008A676C">
      <w:pPr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Am 22.06.2015 tritt Richter </w:t>
      </w:r>
      <w:r w:rsidRPr="008A676C">
        <w:rPr>
          <w:rFonts w:cs="Arial"/>
          <w:b/>
          <w:szCs w:val="24"/>
        </w:rPr>
        <w:t xml:space="preserve">Wiegmann </w:t>
      </w:r>
      <w:r w:rsidRPr="008A676C">
        <w:rPr>
          <w:rFonts w:cs="Arial"/>
          <w:szCs w:val="24"/>
        </w:rPr>
        <w:t>seinen Dienst bei dem Landgericht Bielefeld an.</w:t>
      </w:r>
    </w:p>
    <w:p w:rsidR="00FA3D0C" w:rsidRPr="008A676C" w:rsidRDefault="00FA3D0C" w:rsidP="008A676C">
      <w:pPr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am Landgericht </w:t>
      </w:r>
      <w:r w:rsidRPr="008A676C">
        <w:rPr>
          <w:rFonts w:cs="Arial"/>
          <w:b/>
          <w:szCs w:val="24"/>
        </w:rPr>
        <w:t>Wahlmann</w:t>
      </w:r>
      <w:r w:rsidRPr="008A676C">
        <w:rPr>
          <w:rFonts w:cs="Arial"/>
          <w:szCs w:val="24"/>
        </w:rPr>
        <w:t xml:space="preserve"> tritt am 25.06.2015 (in der Zeit vom 25.06 bis 08.07.2015 jedoch zunächst mit Urlaub) seinen Dienst nach Elternzeit wieder an. </w:t>
      </w:r>
    </w:p>
    <w:p w:rsidR="006F4668" w:rsidRPr="008A676C" w:rsidRDefault="006F4668" w:rsidP="008A676C">
      <w:pPr>
        <w:spacing w:line="319" w:lineRule="auto"/>
        <w:rPr>
          <w:rFonts w:cs="Arial"/>
          <w:szCs w:val="24"/>
        </w:rPr>
      </w:pPr>
    </w:p>
    <w:p w:rsidR="006F4668" w:rsidRPr="008A676C" w:rsidRDefault="006F4668" w:rsidP="008A676C">
      <w:pPr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Aus diesem Grund wird die Geschäftsverteilung wie folgt geändert:</w:t>
      </w:r>
    </w:p>
    <w:p w:rsidR="006F4668" w:rsidRPr="008A676C" w:rsidRDefault="006F4668" w:rsidP="008A676C">
      <w:pPr>
        <w:spacing w:line="319" w:lineRule="auto"/>
        <w:rPr>
          <w:rFonts w:cs="Arial"/>
          <w:szCs w:val="24"/>
        </w:rPr>
      </w:pPr>
    </w:p>
    <w:p w:rsidR="006F4668" w:rsidRPr="008A676C" w:rsidRDefault="006F4668" w:rsidP="008A676C">
      <w:pPr>
        <w:spacing w:line="319" w:lineRule="auto"/>
        <w:rPr>
          <w:rFonts w:eastAsia="Calibri" w:cs="Arial"/>
          <w:szCs w:val="24"/>
        </w:rPr>
      </w:pPr>
    </w:p>
    <w:p w:rsidR="006F4668" w:rsidRPr="008A676C" w:rsidRDefault="006F4668" w:rsidP="008A676C">
      <w:pPr>
        <w:pStyle w:val="Listenabsatz"/>
        <w:numPr>
          <w:ilvl w:val="0"/>
          <w:numId w:val="2"/>
        </w:numPr>
        <w:spacing w:line="319" w:lineRule="auto"/>
        <w:jc w:val="left"/>
        <w:rPr>
          <w:rFonts w:eastAsia="Calibri" w:cs="Arial"/>
          <w:szCs w:val="24"/>
        </w:rPr>
      </w:pPr>
      <w:r w:rsidRPr="008A676C">
        <w:rPr>
          <w:rFonts w:eastAsia="Calibri" w:cs="Arial"/>
          <w:szCs w:val="24"/>
        </w:rPr>
        <w:t>Mit Wirkung vom 17.06.2015</w:t>
      </w:r>
    </w:p>
    <w:p w:rsidR="006F4668" w:rsidRPr="008A676C" w:rsidRDefault="006F4668" w:rsidP="008A676C">
      <w:pPr>
        <w:spacing w:line="319" w:lineRule="auto"/>
        <w:ind w:left="360"/>
        <w:jc w:val="left"/>
        <w:rPr>
          <w:rFonts w:eastAsia="Calibri" w:cs="Arial"/>
          <w:szCs w:val="24"/>
        </w:rPr>
      </w:pPr>
    </w:p>
    <w:p w:rsidR="002A2F92" w:rsidRPr="008A676C" w:rsidRDefault="006F4668" w:rsidP="008A676C">
      <w:pPr>
        <w:spacing w:line="319" w:lineRule="auto"/>
        <w:ind w:left="360"/>
        <w:rPr>
          <w:rFonts w:eastAsia="Calibri" w:cs="Arial"/>
          <w:szCs w:val="24"/>
        </w:rPr>
      </w:pPr>
      <w:r w:rsidRPr="008A676C">
        <w:rPr>
          <w:rFonts w:eastAsia="Calibri" w:cs="Arial"/>
          <w:szCs w:val="24"/>
        </w:rPr>
        <w:t xml:space="preserve">1. </w:t>
      </w:r>
    </w:p>
    <w:p w:rsidR="002A2F92" w:rsidRPr="008A676C" w:rsidRDefault="006F4668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eastAsia="Calibri" w:cs="Arial"/>
          <w:szCs w:val="24"/>
        </w:rPr>
        <w:t xml:space="preserve">Richterin am Landgericht </w:t>
      </w:r>
      <w:r w:rsidRPr="008A676C">
        <w:rPr>
          <w:rFonts w:eastAsia="Calibri" w:cs="Arial"/>
          <w:b/>
          <w:szCs w:val="24"/>
        </w:rPr>
        <w:t>Stellbrink</w:t>
      </w:r>
      <w:r w:rsidR="002A2F92" w:rsidRPr="008A676C">
        <w:rPr>
          <w:rFonts w:eastAsia="Calibri" w:cs="Arial"/>
          <w:szCs w:val="24"/>
        </w:rPr>
        <w:t xml:space="preserve"> scheidet </w:t>
      </w:r>
      <w:r w:rsidR="002A2F92" w:rsidRPr="008A676C">
        <w:rPr>
          <w:rFonts w:cs="Arial"/>
          <w:szCs w:val="24"/>
        </w:rPr>
        <w:t>mit 0,5 ihrer Arbeitskraft aus der 3. Strafkammer aus und wird im Umfang von 0,3 des dadurch freiwerdenden A</w:t>
      </w:r>
      <w:r w:rsidR="002A2F92" w:rsidRPr="008A676C">
        <w:rPr>
          <w:rFonts w:cs="Arial"/>
          <w:szCs w:val="24"/>
        </w:rPr>
        <w:t>r</w:t>
      </w:r>
      <w:r w:rsidR="002A2F92" w:rsidRPr="008A676C">
        <w:rPr>
          <w:rFonts w:cs="Arial"/>
          <w:szCs w:val="24"/>
        </w:rPr>
        <w:t>beitskraftanteils der 17. Strafkammer (StVK) sowie im Umfang der weiteren 0,2 des dadurch freiwerdenden Arbeitskraftanteils der 18. Strafkammer (StVK) zug</w:t>
      </w:r>
      <w:r w:rsidR="002A2F92" w:rsidRPr="008A676C">
        <w:rPr>
          <w:rFonts w:cs="Arial"/>
          <w:szCs w:val="24"/>
        </w:rPr>
        <w:t>e</w:t>
      </w:r>
      <w:r w:rsidR="002A2F92" w:rsidRPr="008A676C">
        <w:rPr>
          <w:rFonts w:cs="Arial"/>
          <w:szCs w:val="24"/>
        </w:rPr>
        <w:t>wiesen. In der 17. Strafkammer (StVK) übernimmt sie den stellvertretenden Vo</w:t>
      </w:r>
      <w:r w:rsidR="002A2F92" w:rsidRPr="008A676C">
        <w:rPr>
          <w:rFonts w:cs="Arial"/>
          <w:szCs w:val="24"/>
        </w:rPr>
        <w:t>r</w:t>
      </w:r>
      <w:r w:rsidR="002A2F92" w:rsidRPr="008A676C">
        <w:rPr>
          <w:rFonts w:cs="Arial"/>
          <w:szCs w:val="24"/>
        </w:rPr>
        <w:t>sitz.</w:t>
      </w:r>
    </w:p>
    <w:p w:rsidR="002A2F92" w:rsidRPr="008A676C" w:rsidRDefault="002A2F92" w:rsidP="008A676C">
      <w:pPr>
        <w:spacing w:line="319" w:lineRule="auto"/>
        <w:ind w:left="360"/>
        <w:rPr>
          <w:rFonts w:cs="Arial"/>
          <w:szCs w:val="24"/>
        </w:rPr>
      </w:pPr>
    </w:p>
    <w:p w:rsidR="002A2F92" w:rsidRPr="008A676C" w:rsidRDefault="002A2F92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>2.</w:t>
      </w:r>
    </w:p>
    <w:p w:rsidR="002A2F92" w:rsidRPr="008A676C" w:rsidRDefault="002A2F92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In der 18. Strafkammer (StVK) übernimmt Richter am Landgericht </w:t>
      </w:r>
      <w:r w:rsidRPr="008A676C">
        <w:rPr>
          <w:rFonts w:cs="Arial"/>
          <w:b/>
          <w:szCs w:val="24"/>
        </w:rPr>
        <w:t>Schulz</w:t>
      </w:r>
      <w:r w:rsidRPr="008A676C">
        <w:rPr>
          <w:rFonts w:cs="Arial"/>
          <w:szCs w:val="24"/>
        </w:rPr>
        <w:t xml:space="preserve"> den stellvertretenden Vorsitz.</w:t>
      </w:r>
    </w:p>
    <w:p w:rsidR="002A2F92" w:rsidRPr="008A676C" w:rsidRDefault="002A2F92" w:rsidP="008A676C">
      <w:pPr>
        <w:spacing w:line="319" w:lineRule="auto"/>
        <w:ind w:left="360"/>
        <w:rPr>
          <w:rFonts w:cs="Arial"/>
          <w:szCs w:val="24"/>
        </w:rPr>
      </w:pPr>
    </w:p>
    <w:p w:rsidR="002A2F92" w:rsidRPr="008A676C" w:rsidRDefault="002A2F92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>3.</w:t>
      </w:r>
    </w:p>
    <w:p w:rsidR="006F4668" w:rsidRPr="008A676C" w:rsidRDefault="006F4668" w:rsidP="008A676C">
      <w:pPr>
        <w:spacing w:line="319" w:lineRule="auto"/>
        <w:ind w:left="360"/>
        <w:jc w:val="left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In der 3. Strafkammer übernimmt </w:t>
      </w:r>
      <w:r w:rsidRPr="008A676C">
        <w:rPr>
          <w:rFonts w:eastAsia="Calibri" w:cs="Arial"/>
          <w:szCs w:val="24"/>
        </w:rPr>
        <w:t xml:space="preserve">Richterin am Landgericht </w:t>
      </w:r>
      <w:r w:rsidRPr="008A676C">
        <w:rPr>
          <w:rFonts w:eastAsia="Calibri" w:cs="Arial"/>
          <w:b/>
          <w:szCs w:val="24"/>
        </w:rPr>
        <w:t>Poch</w:t>
      </w:r>
      <w:r w:rsidRPr="008A676C">
        <w:rPr>
          <w:rFonts w:eastAsia="Calibri" w:cs="Arial"/>
          <w:szCs w:val="24"/>
        </w:rPr>
        <w:t xml:space="preserve"> </w:t>
      </w:r>
      <w:r w:rsidRPr="008A676C">
        <w:rPr>
          <w:rFonts w:cs="Arial"/>
          <w:szCs w:val="24"/>
        </w:rPr>
        <w:t>den stellvertr</w:t>
      </w:r>
      <w:r w:rsidRPr="008A676C">
        <w:rPr>
          <w:rFonts w:cs="Arial"/>
          <w:szCs w:val="24"/>
        </w:rPr>
        <w:t>e</w:t>
      </w:r>
      <w:r w:rsidRPr="008A676C">
        <w:rPr>
          <w:rFonts w:cs="Arial"/>
          <w:szCs w:val="24"/>
        </w:rPr>
        <w:t>tenden Vorsitz.</w:t>
      </w:r>
    </w:p>
    <w:p w:rsidR="006F4668" w:rsidRDefault="006F4668" w:rsidP="008A676C">
      <w:pPr>
        <w:pStyle w:val="Listenabsatz"/>
        <w:spacing w:line="319" w:lineRule="auto"/>
        <w:ind w:left="1080"/>
        <w:jc w:val="left"/>
        <w:rPr>
          <w:rFonts w:eastAsia="Calibri" w:cs="Arial"/>
          <w:szCs w:val="24"/>
        </w:rPr>
      </w:pPr>
    </w:p>
    <w:p w:rsidR="008A676C" w:rsidRPr="008A676C" w:rsidRDefault="008A676C" w:rsidP="008A676C">
      <w:pPr>
        <w:pStyle w:val="Listenabsatz"/>
        <w:spacing w:line="319" w:lineRule="auto"/>
        <w:ind w:left="1080"/>
        <w:jc w:val="left"/>
        <w:rPr>
          <w:rFonts w:eastAsia="Calibri" w:cs="Arial"/>
          <w:szCs w:val="24"/>
        </w:rPr>
      </w:pPr>
    </w:p>
    <w:p w:rsidR="006F4668" w:rsidRPr="008A676C" w:rsidRDefault="006F4668" w:rsidP="008A676C">
      <w:pPr>
        <w:pStyle w:val="Listenabsatz"/>
        <w:spacing w:line="319" w:lineRule="auto"/>
        <w:ind w:left="1080"/>
        <w:jc w:val="left"/>
        <w:rPr>
          <w:rFonts w:eastAsia="Calibri" w:cs="Arial"/>
          <w:szCs w:val="24"/>
        </w:rPr>
      </w:pPr>
    </w:p>
    <w:p w:rsidR="006F4668" w:rsidRPr="008A676C" w:rsidRDefault="006F4668" w:rsidP="008A676C">
      <w:pPr>
        <w:pStyle w:val="Listenabsatz"/>
        <w:numPr>
          <w:ilvl w:val="0"/>
          <w:numId w:val="2"/>
        </w:numPr>
        <w:spacing w:line="319" w:lineRule="auto"/>
        <w:jc w:val="left"/>
        <w:rPr>
          <w:rFonts w:eastAsia="Calibri" w:cs="Arial"/>
          <w:szCs w:val="24"/>
        </w:rPr>
      </w:pPr>
      <w:r w:rsidRPr="008A676C">
        <w:rPr>
          <w:rFonts w:eastAsia="Calibri" w:cs="Arial"/>
          <w:szCs w:val="24"/>
        </w:rPr>
        <w:lastRenderedPageBreak/>
        <w:t>Mit Wirkung vom 22.06.2015</w:t>
      </w:r>
    </w:p>
    <w:p w:rsidR="006F4668" w:rsidRPr="008A676C" w:rsidRDefault="006F4668" w:rsidP="008A676C">
      <w:pPr>
        <w:spacing w:line="319" w:lineRule="auto"/>
        <w:ind w:left="360"/>
        <w:rPr>
          <w:rFonts w:cs="Arial"/>
          <w:szCs w:val="24"/>
        </w:rPr>
      </w:pPr>
    </w:p>
    <w:p w:rsidR="006F4668" w:rsidRPr="008A676C" w:rsidRDefault="006F4668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</w:t>
      </w:r>
      <w:r w:rsidRPr="008A676C">
        <w:rPr>
          <w:rFonts w:cs="Arial"/>
          <w:b/>
          <w:szCs w:val="24"/>
        </w:rPr>
        <w:t xml:space="preserve">Wiegmann </w:t>
      </w:r>
      <w:r w:rsidRPr="008A676C">
        <w:rPr>
          <w:rFonts w:cs="Arial"/>
          <w:szCs w:val="24"/>
        </w:rPr>
        <w:t>wird der 6. Zivilkammer zugewiesen.</w:t>
      </w:r>
    </w:p>
    <w:p w:rsidR="006F4668" w:rsidRPr="008A676C" w:rsidRDefault="006F4668" w:rsidP="008A676C">
      <w:pPr>
        <w:spacing w:line="319" w:lineRule="auto"/>
        <w:ind w:left="360"/>
        <w:jc w:val="left"/>
        <w:rPr>
          <w:rFonts w:eastAsia="Calibri" w:cs="Arial"/>
          <w:szCs w:val="24"/>
        </w:rPr>
      </w:pPr>
    </w:p>
    <w:p w:rsidR="006F4668" w:rsidRPr="008A676C" w:rsidRDefault="006F4668" w:rsidP="008A676C">
      <w:pPr>
        <w:spacing w:line="319" w:lineRule="auto"/>
        <w:ind w:left="360"/>
        <w:jc w:val="left"/>
        <w:rPr>
          <w:rFonts w:eastAsia="Calibri" w:cs="Arial"/>
          <w:szCs w:val="24"/>
        </w:rPr>
      </w:pPr>
      <w:r w:rsidRPr="008A676C">
        <w:rPr>
          <w:rFonts w:eastAsia="Calibri" w:cs="Arial"/>
          <w:szCs w:val="24"/>
        </w:rPr>
        <w:t xml:space="preserve"> </w:t>
      </w:r>
    </w:p>
    <w:p w:rsidR="00FA3D0C" w:rsidRPr="008A676C" w:rsidRDefault="006F4668" w:rsidP="008A676C">
      <w:pPr>
        <w:pStyle w:val="Listenabsatz"/>
        <w:numPr>
          <w:ilvl w:val="0"/>
          <w:numId w:val="2"/>
        </w:numPr>
        <w:spacing w:line="319" w:lineRule="auto"/>
        <w:jc w:val="left"/>
        <w:rPr>
          <w:rFonts w:eastAsia="Calibri" w:cs="Arial"/>
          <w:szCs w:val="24"/>
        </w:rPr>
      </w:pPr>
      <w:r w:rsidRPr="008A676C">
        <w:rPr>
          <w:rFonts w:eastAsia="Calibri" w:cs="Arial"/>
          <w:szCs w:val="24"/>
        </w:rPr>
        <w:t>Mit Wirkung vom 25.06.2015</w:t>
      </w:r>
    </w:p>
    <w:p w:rsidR="006F4668" w:rsidRPr="008A676C" w:rsidRDefault="006F4668" w:rsidP="008A676C">
      <w:pPr>
        <w:spacing w:line="319" w:lineRule="auto"/>
        <w:ind w:left="360"/>
        <w:jc w:val="left"/>
        <w:rPr>
          <w:rFonts w:eastAsia="Calibri" w:cs="Arial"/>
          <w:szCs w:val="24"/>
        </w:rPr>
      </w:pPr>
    </w:p>
    <w:p w:rsidR="008A676C" w:rsidRDefault="008A676C" w:rsidP="008A676C">
      <w:pPr>
        <w:spacing w:line="319" w:lineRule="auto"/>
        <w:ind w:left="36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</w:p>
    <w:p w:rsidR="008A676C" w:rsidRDefault="002A2F92" w:rsidP="008A676C">
      <w:pPr>
        <w:spacing w:line="319" w:lineRule="auto"/>
        <w:ind w:left="360"/>
        <w:rPr>
          <w:rFonts w:cs="Arial"/>
          <w:b/>
          <w:i/>
          <w:szCs w:val="24"/>
        </w:rPr>
      </w:pPr>
      <w:r w:rsidRPr="008A676C">
        <w:rPr>
          <w:rFonts w:cs="Arial"/>
          <w:szCs w:val="24"/>
        </w:rPr>
        <w:t xml:space="preserve">Richterin am Landgericht </w:t>
      </w:r>
      <w:r w:rsidRPr="008A676C">
        <w:rPr>
          <w:rFonts w:cs="Arial"/>
          <w:b/>
          <w:szCs w:val="24"/>
        </w:rPr>
        <w:t>Dr. Trautwein</w:t>
      </w:r>
      <w:r w:rsidRPr="008A676C">
        <w:rPr>
          <w:rFonts w:cs="Arial"/>
          <w:szCs w:val="24"/>
        </w:rPr>
        <w:t xml:space="preserve"> scheidet</w:t>
      </w:r>
      <w:r w:rsidR="008A676C" w:rsidRPr="008A676C">
        <w:rPr>
          <w:rFonts w:cs="Arial"/>
          <w:szCs w:val="24"/>
        </w:rPr>
        <w:t xml:space="preserve"> aus der 18. Zivilkammer sowie aus der 19. Strafkammer (StVK) aus und wird im Umfang des dadurch freiwe</w:t>
      </w:r>
      <w:r w:rsidR="008A676C" w:rsidRPr="008A676C">
        <w:rPr>
          <w:rFonts w:cs="Arial"/>
          <w:szCs w:val="24"/>
        </w:rPr>
        <w:t>r</w:t>
      </w:r>
      <w:r w:rsidR="008A676C" w:rsidRPr="008A676C">
        <w:rPr>
          <w:rFonts w:cs="Arial"/>
          <w:szCs w:val="24"/>
        </w:rPr>
        <w:t>denden Arbeitskraftanteils der</w:t>
      </w:r>
      <w:r w:rsidR="008A676C">
        <w:rPr>
          <w:rFonts w:cs="Arial"/>
          <w:szCs w:val="24"/>
        </w:rPr>
        <w:t xml:space="preserve"> 9. Zivilkammer zugewiesen, </w:t>
      </w:r>
      <w:r w:rsidR="008A676C" w:rsidRPr="008A676C">
        <w:rPr>
          <w:rFonts w:cs="Arial"/>
          <w:szCs w:val="24"/>
        </w:rPr>
        <w:t>deren stellvertrete</w:t>
      </w:r>
      <w:r w:rsidR="008A676C" w:rsidRPr="008A676C">
        <w:rPr>
          <w:rFonts w:cs="Arial"/>
          <w:szCs w:val="24"/>
        </w:rPr>
        <w:t>n</w:t>
      </w:r>
      <w:r w:rsidR="008A676C" w:rsidRPr="008A676C">
        <w:rPr>
          <w:rFonts w:cs="Arial"/>
          <w:szCs w:val="24"/>
        </w:rPr>
        <w:t>den Vorsitz sie über</w:t>
      </w:r>
      <w:r w:rsidR="00C85907">
        <w:rPr>
          <w:rFonts w:cs="Arial"/>
          <w:szCs w:val="24"/>
        </w:rPr>
        <w:t>nimmt.</w:t>
      </w:r>
    </w:p>
    <w:p w:rsidR="008A676C" w:rsidRPr="008A676C" w:rsidRDefault="008A676C" w:rsidP="008A676C">
      <w:pPr>
        <w:spacing w:line="319" w:lineRule="auto"/>
        <w:ind w:left="360"/>
        <w:rPr>
          <w:rFonts w:cs="Arial"/>
          <w:szCs w:val="24"/>
        </w:rPr>
      </w:pPr>
    </w:p>
    <w:p w:rsidR="008A676C" w:rsidRDefault="008A676C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2. </w:t>
      </w:r>
    </w:p>
    <w:p w:rsidR="006F4668" w:rsidRPr="008A676C" w:rsidRDefault="006F4668" w:rsidP="008A676C">
      <w:pPr>
        <w:spacing w:line="319" w:lineRule="auto"/>
        <w:ind w:left="360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am Landgericht </w:t>
      </w:r>
      <w:r w:rsidRPr="008A676C">
        <w:rPr>
          <w:rFonts w:cs="Arial"/>
          <w:b/>
          <w:szCs w:val="24"/>
        </w:rPr>
        <w:t>Wahlmann</w:t>
      </w:r>
      <w:r w:rsidRPr="008A676C">
        <w:rPr>
          <w:rFonts w:cs="Arial"/>
          <w:szCs w:val="24"/>
        </w:rPr>
        <w:t xml:space="preserve"> wird im Umfang von 0,5 seiner Arbeitskraft der </w:t>
      </w:r>
      <w:r w:rsidR="008A676C">
        <w:rPr>
          <w:rFonts w:cs="Arial"/>
          <w:szCs w:val="24"/>
        </w:rPr>
        <w:t>3. Straf</w:t>
      </w:r>
      <w:r w:rsidRPr="008A676C">
        <w:rPr>
          <w:rFonts w:cs="Arial"/>
          <w:szCs w:val="24"/>
        </w:rPr>
        <w:t>kammer, im Umfang von weiteren 0,3 der 1</w:t>
      </w:r>
      <w:r w:rsidR="008A676C">
        <w:rPr>
          <w:rFonts w:cs="Arial"/>
          <w:szCs w:val="24"/>
        </w:rPr>
        <w:t>9</w:t>
      </w:r>
      <w:r w:rsidRPr="008A676C">
        <w:rPr>
          <w:rFonts w:cs="Arial"/>
          <w:szCs w:val="24"/>
        </w:rPr>
        <w:t>. Strafkammer (StVK) s</w:t>
      </w:r>
      <w:r w:rsidRPr="008A676C">
        <w:rPr>
          <w:rFonts w:cs="Arial"/>
          <w:szCs w:val="24"/>
        </w:rPr>
        <w:t>o</w:t>
      </w:r>
      <w:r w:rsidRPr="008A676C">
        <w:rPr>
          <w:rFonts w:cs="Arial"/>
          <w:szCs w:val="24"/>
        </w:rPr>
        <w:t xml:space="preserve">wie im Umfang von weiteren 0,2 der 18. </w:t>
      </w:r>
      <w:r w:rsidR="008A676C">
        <w:rPr>
          <w:rFonts w:cs="Arial"/>
          <w:szCs w:val="24"/>
        </w:rPr>
        <w:t>Zivil</w:t>
      </w:r>
      <w:r w:rsidRPr="008A676C">
        <w:rPr>
          <w:rFonts w:cs="Arial"/>
          <w:szCs w:val="24"/>
        </w:rPr>
        <w:t>kammer</w:t>
      </w:r>
      <w:r w:rsidR="008A676C">
        <w:rPr>
          <w:rFonts w:cs="Arial"/>
          <w:szCs w:val="24"/>
        </w:rPr>
        <w:t xml:space="preserve"> (deren stellvertretenden Vorsitz er übernimmt)</w:t>
      </w:r>
      <w:r w:rsidRPr="008A676C">
        <w:rPr>
          <w:rFonts w:cs="Arial"/>
          <w:szCs w:val="24"/>
        </w:rPr>
        <w:t xml:space="preserve"> </w:t>
      </w:r>
      <w:r w:rsidR="008A676C">
        <w:rPr>
          <w:rFonts w:cs="Arial"/>
          <w:szCs w:val="24"/>
        </w:rPr>
        <w:t>zugewiesen.</w:t>
      </w:r>
    </w:p>
    <w:p w:rsidR="006F4668" w:rsidRPr="008A676C" w:rsidRDefault="006F4668" w:rsidP="008A676C">
      <w:pPr>
        <w:spacing w:line="319" w:lineRule="auto"/>
        <w:ind w:left="360"/>
        <w:jc w:val="left"/>
        <w:rPr>
          <w:rFonts w:eastAsia="Calibri" w:cs="Arial"/>
          <w:szCs w:val="24"/>
        </w:rPr>
      </w:pPr>
    </w:p>
    <w:p w:rsidR="0007035C" w:rsidRDefault="0007035C" w:rsidP="008A676C">
      <w:pPr>
        <w:spacing w:line="319" w:lineRule="auto"/>
        <w:rPr>
          <w:rFonts w:cs="Arial"/>
          <w:szCs w:val="24"/>
        </w:rPr>
      </w:pPr>
    </w:p>
    <w:p w:rsidR="008A676C" w:rsidRPr="008A676C" w:rsidRDefault="008A676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6F4668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Nagel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spacing w:line="319" w:lineRule="auto"/>
        <w:rPr>
          <w:rFonts w:cs="Arial"/>
          <w:szCs w:val="24"/>
        </w:rPr>
      </w:pPr>
    </w:p>
    <w:sectPr w:rsidR="0007035C" w:rsidRPr="008A676C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7035C"/>
    <w:rsid w:val="0008383F"/>
    <w:rsid w:val="000F224D"/>
    <w:rsid w:val="0015709D"/>
    <w:rsid w:val="002255C6"/>
    <w:rsid w:val="00237E24"/>
    <w:rsid w:val="002A2F92"/>
    <w:rsid w:val="0034452B"/>
    <w:rsid w:val="00444857"/>
    <w:rsid w:val="00463D40"/>
    <w:rsid w:val="004860F8"/>
    <w:rsid w:val="004D2382"/>
    <w:rsid w:val="006F4668"/>
    <w:rsid w:val="00754274"/>
    <w:rsid w:val="007603F1"/>
    <w:rsid w:val="008A676C"/>
    <w:rsid w:val="009345A7"/>
    <w:rsid w:val="00982315"/>
    <w:rsid w:val="009E7B2E"/>
    <w:rsid w:val="00AC75C0"/>
    <w:rsid w:val="00C85907"/>
    <w:rsid w:val="00DE4FFE"/>
    <w:rsid w:val="00E6403A"/>
    <w:rsid w:val="00F60314"/>
    <w:rsid w:val="00F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2015-06-16T12:49:00Z</dcterms:created>
  <dcterms:modified xsi:type="dcterms:W3CDTF">2015-06-16T12:49:00Z</dcterms:modified>
</cp:coreProperties>
</file>