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68" w:rsidRPr="008A676C" w:rsidRDefault="006F4668" w:rsidP="008A676C">
      <w:pPr>
        <w:spacing w:line="319" w:lineRule="auto"/>
        <w:rPr>
          <w:rFonts w:cs="Arial"/>
          <w:b/>
          <w:szCs w:val="24"/>
        </w:rPr>
      </w:pPr>
      <w:r w:rsidRPr="008A676C">
        <w:rPr>
          <w:rFonts w:cs="Arial"/>
          <w:b/>
          <w:szCs w:val="24"/>
        </w:rPr>
        <w:t>Das Präsidium des Landgerichts</w:t>
      </w:r>
    </w:p>
    <w:p w:rsidR="006F4668" w:rsidRPr="008A676C" w:rsidRDefault="006F4668" w:rsidP="008A676C">
      <w:pPr>
        <w:spacing w:line="319" w:lineRule="auto"/>
        <w:rPr>
          <w:rFonts w:cs="Arial"/>
          <w:b/>
          <w:szCs w:val="24"/>
        </w:rPr>
      </w:pPr>
      <w:r w:rsidRPr="008A676C">
        <w:rPr>
          <w:rFonts w:cs="Arial"/>
          <w:b/>
          <w:szCs w:val="24"/>
        </w:rPr>
        <w:t xml:space="preserve">320 E – 50. </w:t>
      </w:r>
      <w:r w:rsidR="00AC75C0">
        <w:rPr>
          <w:rFonts w:cs="Arial"/>
          <w:b/>
          <w:szCs w:val="24"/>
        </w:rPr>
        <w:t>62</w:t>
      </w:r>
      <w:r w:rsidR="005E338A">
        <w:rPr>
          <w:rFonts w:cs="Arial"/>
          <w:b/>
          <w:szCs w:val="24"/>
        </w:rPr>
        <w:t>5</w:t>
      </w:r>
      <w:r w:rsidRPr="008A676C">
        <w:rPr>
          <w:rFonts w:cs="Arial"/>
          <w:b/>
          <w:szCs w:val="24"/>
        </w:rPr>
        <w:t xml:space="preserve"> (11)</w:t>
      </w:r>
      <w:r w:rsidRPr="008A676C">
        <w:rPr>
          <w:rFonts w:cs="Arial"/>
          <w:b/>
          <w:szCs w:val="24"/>
        </w:rPr>
        <w:tab/>
      </w:r>
      <w:r w:rsidRPr="008A676C">
        <w:rPr>
          <w:rFonts w:cs="Arial"/>
          <w:b/>
          <w:szCs w:val="24"/>
        </w:rPr>
        <w:tab/>
        <w:t xml:space="preserve">                     </w:t>
      </w:r>
      <w:r w:rsidRPr="008A676C">
        <w:rPr>
          <w:rFonts w:cs="Arial"/>
          <w:b/>
          <w:szCs w:val="24"/>
        </w:rPr>
        <w:tab/>
        <w:t xml:space="preserve">                  </w:t>
      </w:r>
      <w:r w:rsidR="00AC75C0">
        <w:rPr>
          <w:rFonts w:cs="Arial"/>
          <w:b/>
          <w:szCs w:val="24"/>
        </w:rPr>
        <w:t xml:space="preserve"> </w:t>
      </w:r>
      <w:r w:rsidRPr="008A676C">
        <w:rPr>
          <w:rFonts w:cs="Arial"/>
          <w:b/>
          <w:szCs w:val="24"/>
        </w:rPr>
        <w:t xml:space="preserve">Bielefeld, den </w:t>
      </w:r>
      <w:r w:rsidR="005E338A">
        <w:rPr>
          <w:rFonts w:cs="Arial"/>
          <w:b/>
          <w:szCs w:val="24"/>
        </w:rPr>
        <w:t>2</w:t>
      </w:r>
      <w:r w:rsidR="00AC75C0">
        <w:rPr>
          <w:rFonts w:cs="Arial"/>
          <w:b/>
          <w:szCs w:val="24"/>
        </w:rPr>
        <w:t>6.</w:t>
      </w:r>
      <w:r w:rsidRPr="008A676C">
        <w:rPr>
          <w:rFonts w:cs="Arial"/>
          <w:b/>
          <w:szCs w:val="24"/>
        </w:rPr>
        <w:t>06.2015</w:t>
      </w:r>
    </w:p>
    <w:p w:rsidR="006F4668" w:rsidRPr="008A676C" w:rsidRDefault="006F4668" w:rsidP="008A676C">
      <w:pPr>
        <w:spacing w:line="319" w:lineRule="auto"/>
        <w:rPr>
          <w:rFonts w:cs="Arial"/>
          <w:b/>
          <w:szCs w:val="24"/>
        </w:rPr>
      </w:pPr>
    </w:p>
    <w:p w:rsidR="006F4668" w:rsidRPr="008A676C" w:rsidRDefault="006F4668" w:rsidP="008A676C">
      <w:pPr>
        <w:spacing w:line="319" w:lineRule="auto"/>
        <w:rPr>
          <w:rFonts w:cs="Arial"/>
          <w:b/>
          <w:szCs w:val="24"/>
        </w:rPr>
      </w:pPr>
    </w:p>
    <w:p w:rsidR="006F4668" w:rsidRPr="008A676C" w:rsidRDefault="006F4668" w:rsidP="008A676C">
      <w:pPr>
        <w:spacing w:line="319" w:lineRule="auto"/>
        <w:jc w:val="center"/>
        <w:rPr>
          <w:rFonts w:cs="Arial"/>
          <w:b/>
          <w:szCs w:val="24"/>
          <w:u w:val="single"/>
        </w:rPr>
      </w:pPr>
      <w:r w:rsidRPr="008A676C">
        <w:rPr>
          <w:rFonts w:cs="Arial"/>
          <w:b/>
          <w:szCs w:val="24"/>
          <w:u w:val="single"/>
        </w:rPr>
        <w:t>1</w:t>
      </w:r>
      <w:r w:rsidR="005E338A">
        <w:rPr>
          <w:rFonts w:cs="Arial"/>
          <w:b/>
          <w:szCs w:val="24"/>
          <w:u w:val="single"/>
        </w:rPr>
        <w:t>1</w:t>
      </w:r>
      <w:r w:rsidRPr="008A676C">
        <w:rPr>
          <w:rFonts w:cs="Arial"/>
          <w:b/>
          <w:szCs w:val="24"/>
          <w:u w:val="single"/>
        </w:rPr>
        <w:t>. Änderungsbeschluss zur Geschäftsverteilung</w:t>
      </w:r>
    </w:p>
    <w:p w:rsidR="006F4668" w:rsidRPr="008A676C" w:rsidRDefault="006F4668" w:rsidP="008A676C">
      <w:pPr>
        <w:spacing w:line="319" w:lineRule="auto"/>
        <w:jc w:val="center"/>
        <w:rPr>
          <w:rFonts w:cs="Arial"/>
          <w:b/>
          <w:szCs w:val="24"/>
          <w:u w:val="single"/>
        </w:rPr>
      </w:pPr>
      <w:r w:rsidRPr="008A676C">
        <w:rPr>
          <w:rFonts w:cs="Arial"/>
          <w:b/>
          <w:szCs w:val="24"/>
          <w:u w:val="single"/>
        </w:rPr>
        <w:t>für das Landgericht Bielefeld im Jahr 2015</w:t>
      </w:r>
    </w:p>
    <w:p w:rsidR="00444857" w:rsidRPr="008A676C" w:rsidRDefault="00444857" w:rsidP="008A676C">
      <w:pPr>
        <w:spacing w:line="319" w:lineRule="auto"/>
        <w:rPr>
          <w:rFonts w:cs="Arial"/>
          <w:szCs w:val="24"/>
        </w:rPr>
      </w:pPr>
    </w:p>
    <w:p w:rsidR="00FA3D0C" w:rsidRPr="008A676C" w:rsidRDefault="00FA3D0C" w:rsidP="008A676C">
      <w:pPr>
        <w:spacing w:line="319" w:lineRule="auto"/>
        <w:rPr>
          <w:rFonts w:cs="Arial"/>
          <w:szCs w:val="24"/>
        </w:rPr>
      </w:pPr>
    </w:p>
    <w:p w:rsidR="00FC7C3D" w:rsidRDefault="005E338A" w:rsidP="00FC7C3D">
      <w:pPr>
        <w:spacing w:line="360" w:lineRule="auto"/>
      </w:pPr>
      <w:r>
        <w:t>Die 1</w:t>
      </w:r>
      <w:r w:rsidR="00FC7C3D">
        <w:t>5</w:t>
      </w:r>
      <w:r>
        <w:t>. Zivilkammer (</w:t>
      </w:r>
      <w:r w:rsidR="00FC7C3D">
        <w:t>6</w:t>
      </w:r>
      <w:r>
        <w:t xml:space="preserve">. Kammer für Handelssachen) </w:t>
      </w:r>
      <w:r w:rsidR="00FC7C3D">
        <w:t xml:space="preserve">und die 17. Zivilkammer (8. Kammer für Handelssachen) sind </w:t>
      </w:r>
      <w:r>
        <w:t xml:space="preserve">infolge unerwartet hoher Eingänge überlastet. </w:t>
      </w:r>
    </w:p>
    <w:p w:rsidR="00FC7C3D" w:rsidRDefault="00FC7C3D" w:rsidP="00FC7C3D">
      <w:pPr>
        <w:spacing w:line="360" w:lineRule="auto"/>
      </w:pPr>
    </w:p>
    <w:p w:rsidR="00FC7C3D" w:rsidRDefault="005E338A" w:rsidP="00FC7C3D">
      <w:pPr>
        <w:spacing w:line="360" w:lineRule="auto"/>
      </w:pPr>
      <w:r>
        <w:t xml:space="preserve">Zu ihrer Entlastung </w:t>
      </w:r>
      <w:r w:rsidR="00FC7C3D">
        <w:t xml:space="preserve">und </w:t>
      </w:r>
      <w:r w:rsidR="00FC7C3D" w:rsidRPr="00EB5295">
        <w:rPr>
          <w:rFonts w:cs="Arial"/>
        </w:rPr>
        <w:t>zur Gewährleistung gleichmäßiger Belastungen aller Ka</w:t>
      </w:r>
      <w:r w:rsidR="00FC7C3D" w:rsidRPr="00EB5295">
        <w:rPr>
          <w:rFonts w:cs="Arial"/>
        </w:rPr>
        <w:t>m</w:t>
      </w:r>
      <w:r w:rsidR="00FC7C3D" w:rsidRPr="00EB5295">
        <w:rPr>
          <w:rFonts w:cs="Arial"/>
        </w:rPr>
        <w:t>mern</w:t>
      </w:r>
      <w:r w:rsidR="00FC7C3D">
        <w:rPr>
          <w:rFonts w:cs="Arial"/>
        </w:rPr>
        <w:t xml:space="preserve"> für Handelssachen </w:t>
      </w:r>
      <w:r>
        <w:t>übernimmt die 1</w:t>
      </w:r>
      <w:r w:rsidR="00FC7C3D">
        <w:t>2</w:t>
      </w:r>
      <w:r>
        <w:t>. Zivilkammer (</w:t>
      </w:r>
      <w:r w:rsidR="00FC7C3D">
        <w:t>3</w:t>
      </w:r>
      <w:r>
        <w:t>. Kammer für Handelss</w:t>
      </w:r>
      <w:r>
        <w:t>a</w:t>
      </w:r>
      <w:r>
        <w:t xml:space="preserve">chen) </w:t>
      </w:r>
    </w:p>
    <w:p w:rsidR="00FC7C3D" w:rsidRDefault="00FC7C3D" w:rsidP="00FC7C3D">
      <w:pPr>
        <w:pStyle w:val="Listenabsatz"/>
        <w:numPr>
          <w:ilvl w:val="0"/>
          <w:numId w:val="5"/>
        </w:numPr>
        <w:spacing w:line="360" w:lineRule="auto"/>
      </w:pPr>
      <w:r>
        <w:t>aus dem Zuständigkeitsbereich der 1</w:t>
      </w:r>
      <w:r w:rsidR="00CF107D">
        <w:t>5</w:t>
      </w:r>
      <w:r>
        <w:t>. Zivilkammer (</w:t>
      </w:r>
      <w:r w:rsidR="00CF107D">
        <w:t>6</w:t>
      </w:r>
      <w:r>
        <w:t>. Kammer für Handel</w:t>
      </w:r>
      <w:r>
        <w:t>s</w:t>
      </w:r>
      <w:r>
        <w:t>sachen) die ersten 6 der ab dem 29.06.2015 eingehenden Verfahren sowie</w:t>
      </w:r>
    </w:p>
    <w:p w:rsidR="00FC7C3D" w:rsidRDefault="00FC7C3D" w:rsidP="00FC7C3D">
      <w:pPr>
        <w:pStyle w:val="Listenabsatz"/>
        <w:numPr>
          <w:ilvl w:val="0"/>
          <w:numId w:val="5"/>
        </w:numPr>
        <w:spacing w:line="360" w:lineRule="auto"/>
      </w:pPr>
      <w:r>
        <w:t>aus dem Zuständigkeitsbereich der 1</w:t>
      </w:r>
      <w:r w:rsidR="00CF107D">
        <w:t>7</w:t>
      </w:r>
      <w:r>
        <w:t>. Zivilkammer (</w:t>
      </w:r>
      <w:r w:rsidR="00CF107D">
        <w:t>8</w:t>
      </w:r>
      <w:r>
        <w:t>. Kammer für Handel</w:t>
      </w:r>
      <w:r>
        <w:t>s</w:t>
      </w:r>
      <w:r>
        <w:t>sachen) die ersten 6 der ab dem 15.07.2015 eingehenden Verfahren.</w:t>
      </w:r>
    </w:p>
    <w:p w:rsidR="006F4668" w:rsidRPr="008A676C" w:rsidRDefault="006F4668" w:rsidP="00FC7C3D">
      <w:pPr>
        <w:spacing w:line="360" w:lineRule="auto"/>
        <w:ind w:left="360"/>
        <w:jc w:val="left"/>
        <w:rPr>
          <w:rFonts w:eastAsia="Calibri" w:cs="Arial"/>
          <w:szCs w:val="24"/>
        </w:rPr>
      </w:pPr>
    </w:p>
    <w:p w:rsidR="0007035C" w:rsidRDefault="0007035C" w:rsidP="008A676C">
      <w:pPr>
        <w:spacing w:line="319" w:lineRule="auto"/>
        <w:rPr>
          <w:rFonts w:cs="Arial"/>
          <w:szCs w:val="24"/>
        </w:rPr>
      </w:pPr>
    </w:p>
    <w:p w:rsidR="008A676C" w:rsidRPr="008A676C" w:rsidRDefault="008A676C" w:rsidP="008A676C">
      <w:pPr>
        <w:spacing w:line="319" w:lineRule="auto"/>
        <w:rPr>
          <w:rFonts w:cs="Arial"/>
          <w:szCs w:val="24"/>
        </w:rPr>
      </w:pPr>
    </w:p>
    <w:p w:rsidR="0007035C" w:rsidRPr="008A676C" w:rsidRDefault="0007035C" w:rsidP="008A676C">
      <w:pPr>
        <w:spacing w:line="319" w:lineRule="auto"/>
        <w:rPr>
          <w:rFonts w:cs="Arial"/>
          <w:szCs w:val="24"/>
        </w:rPr>
      </w:pPr>
    </w:p>
    <w:p w:rsidR="0007035C" w:rsidRPr="008A676C" w:rsidRDefault="005E338A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  <w:r>
        <w:rPr>
          <w:rFonts w:cs="Arial"/>
          <w:szCs w:val="24"/>
        </w:rPr>
        <w:t>Dr. Schwieren</w:t>
      </w:r>
      <w:r w:rsidR="0007035C" w:rsidRPr="008A676C">
        <w:rPr>
          <w:rFonts w:cs="Arial"/>
          <w:szCs w:val="24"/>
        </w:rPr>
        <w:tab/>
        <w:t xml:space="preserve">   Drees</w:t>
      </w:r>
      <w:r w:rsidR="0007035C" w:rsidRPr="008A676C">
        <w:rPr>
          <w:rFonts w:cs="Arial"/>
          <w:szCs w:val="24"/>
        </w:rPr>
        <w:tab/>
        <w:t>Dr. Misera</w:t>
      </w:r>
    </w:p>
    <w:p w:rsidR="0007035C" w:rsidRPr="008A676C" w:rsidRDefault="0007035C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</w:p>
    <w:p w:rsidR="0007035C" w:rsidRPr="008A676C" w:rsidRDefault="0007035C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</w:p>
    <w:p w:rsidR="0007035C" w:rsidRPr="008A676C" w:rsidRDefault="0007035C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</w:p>
    <w:p w:rsidR="0007035C" w:rsidRPr="008A676C" w:rsidRDefault="0007035C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  <w:r w:rsidRPr="008A676C">
        <w:rPr>
          <w:rFonts w:cs="Arial"/>
          <w:szCs w:val="24"/>
        </w:rPr>
        <w:t>Müller</w:t>
      </w:r>
      <w:r w:rsidRPr="008A676C">
        <w:rPr>
          <w:rFonts w:cs="Arial"/>
          <w:szCs w:val="24"/>
        </w:rPr>
        <w:tab/>
        <w:t xml:space="preserve">   Nabel</w:t>
      </w:r>
      <w:r w:rsidRPr="008A676C">
        <w:rPr>
          <w:rFonts w:cs="Arial"/>
          <w:szCs w:val="24"/>
        </w:rPr>
        <w:tab/>
        <w:t>Schröder</w:t>
      </w:r>
      <w:r w:rsidRPr="008A676C">
        <w:rPr>
          <w:rFonts w:cs="Arial"/>
          <w:szCs w:val="24"/>
        </w:rPr>
        <w:tab/>
      </w:r>
    </w:p>
    <w:p w:rsidR="0007035C" w:rsidRPr="008A676C" w:rsidRDefault="0007035C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</w:p>
    <w:p w:rsidR="0007035C" w:rsidRPr="008A676C" w:rsidRDefault="0007035C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</w:p>
    <w:p w:rsidR="0007035C" w:rsidRPr="008A676C" w:rsidRDefault="0007035C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</w:p>
    <w:p w:rsidR="0007035C" w:rsidRPr="008A676C" w:rsidRDefault="0007035C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  <w:r w:rsidRPr="008A676C">
        <w:rPr>
          <w:rFonts w:cs="Arial"/>
          <w:szCs w:val="24"/>
        </w:rPr>
        <w:t>Wiemann</w:t>
      </w:r>
      <w:r w:rsidRPr="008A676C">
        <w:rPr>
          <w:rFonts w:cs="Arial"/>
          <w:szCs w:val="24"/>
        </w:rPr>
        <w:tab/>
        <w:t xml:space="preserve">   Dr. Windmann</w:t>
      </w:r>
      <w:r w:rsidRPr="008A676C">
        <w:rPr>
          <w:rFonts w:cs="Arial"/>
          <w:szCs w:val="24"/>
        </w:rPr>
        <w:tab/>
        <w:t>Dr. Zimmermann</w:t>
      </w:r>
    </w:p>
    <w:p w:rsidR="0007035C" w:rsidRPr="008A676C" w:rsidRDefault="0007035C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  <w:r w:rsidRPr="008A676C">
        <w:rPr>
          <w:rFonts w:cs="Arial"/>
          <w:szCs w:val="24"/>
        </w:rPr>
        <w:tab/>
      </w:r>
    </w:p>
    <w:p w:rsidR="0007035C" w:rsidRPr="008A676C" w:rsidRDefault="0007035C" w:rsidP="008A676C">
      <w:pPr>
        <w:spacing w:line="319" w:lineRule="auto"/>
        <w:rPr>
          <w:rFonts w:cs="Arial"/>
          <w:szCs w:val="24"/>
        </w:rPr>
      </w:pPr>
    </w:p>
    <w:sectPr w:rsidR="0007035C" w:rsidRPr="008A676C" w:rsidSect="00760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6AB0"/>
    <w:multiLevelType w:val="hybridMultilevel"/>
    <w:tmpl w:val="48344D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E4B2D"/>
    <w:multiLevelType w:val="hybridMultilevel"/>
    <w:tmpl w:val="3EB87E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F5A9F"/>
    <w:multiLevelType w:val="hybridMultilevel"/>
    <w:tmpl w:val="8DB020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A5522"/>
    <w:multiLevelType w:val="hybridMultilevel"/>
    <w:tmpl w:val="8ADE03D4"/>
    <w:lvl w:ilvl="0" w:tplc="E9B21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A7E6B"/>
    <w:multiLevelType w:val="hybridMultilevel"/>
    <w:tmpl w:val="AAC01FC4"/>
    <w:lvl w:ilvl="0" w:tplc="E744C8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FA3D0C"/>
    <w:rsid w:val="0000536D"/>
    <w:rsid w:val="0007035C"/>
    <w:rsid w:val="000F224D"/>
    <w:rsid w:val="0015709D"/>
    <w:rsid w:val="002255C6"/>
    <w:rsid w:val="00237E24"/>
    <w:rsid w:val="002A2F92"/>
    <w:rsid w:val="0034452B"/>
    <w:rsid w:val="003E02AF"/>
    <w:rsid w:val="00444857"/>
    <w:rsid w:val="00463D40"/>
    <w:rsid w:val="004860F8"/>
    <w:rsid w:val="004D2382"/>
    <w:rsid w:val="005E338A"/>
    <w:rsid w:val="006F4668"/>
    <w:rsid w:val="007603F1"/>
    <w:rsid w:val="008A676C"/>
    <w:rsid w:val="00982315"/>
    <w:rsid w:val="009E7B2E"/>
    <w:rsid w:val="00AC75C0"/>
    <w:rsid w:val="00AD2D5B"/>
    <w:rsid w:val="00B956DD"/>
    <w:rsid w:val="00C15239"/>
    <w:rsid w:val="00C85907"/>
    <w:rsid w:val="00CF107D"/>
    <w:rsid w:val="00E6403A"/>
    <w:rsid w:val="00E70AE0"/>
    <w:rsid w:val="00F141EB"/>
    <w:rsid w:val="00F60314"/>
    <w:rsid w:val="00FA3D0C"/>
    <w:rsid w:val="00FC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3D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3D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Zengerling,Gerrit</dc:creator>
  <cp:lastModifiedBy>DickN</cp:lastModifiedBy>
  <cp:revision>2</cp:revision>
  <dcterms:created xsi:type="dcterms:W3CDTF">2015-06-26T07:04:00Z</dcterms:created>
  <dcterms:modified xsi:type="dcterms:W3CDTF">2015-06-26T07:04:00Z</dcterms:modified>
</cp:coreProperties>
</file>