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001F0A">
        <w:rPr>
          <w:rFonts w:cs="Arial"/>
          <w:b/>
          <w:szCs w:val="24"/>
        </w:rPr>
        <w:tab/>
        <w:t xml:space="preserve">  </w:t>
      </w:r>
      <w:r w:rsidR="00A54041">
        <w:rPr>
          <w:rFonts w:cs="Arial"/>
          <w:b/>
          <w:szCs w:val="24"/>
        </w:rPr>
        <w:t xml:space="preserve">        </w:t>
      </w:r>
      <w:r w:rsidR="00001F0A">
        <w:rPr>
          <w:rFonts w:cs="Arial"/>
          <w:b/>
          <w:szCs w:val="24"/>
        </w:rPr>
        <w:t xml:space="preserve">          </w:t>
      </w:r>
      <w:r w:rsidR="00830DB3">
        <w:rPr>
          <w:rFonts w:cs="Arial"/>
          <w:b/>
          <w:szCs w:val="24"/>
        </w:rPr>
        <w:t xml:space="preserve">  </w:t>
      </w:r>
      <w:r w:rsidR="00001F0A">
        <w:rPr>
          <w:rFonts w:cs="Arial"/>
          <w:b/>
          <w:szCs w:val="24"/>
        </w:rPr>
        <w:t xml:space="preserve">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001F0A" w:rsidRPr="00FD0C87">
        <w:rPr>
          <w:rFonts w:cs="Arial"/>
          <w:b/>
          <w:szCs w:val="24"/>
        </w:rPr>
        <w:t xml:space="preserve">den </w:t>
      </w:r>
      <w:r w:rsidR="00F94404">
        <w:rPr>
          <w:rFonts w:cs="Arial"/>
          <w:b/>
          <w:szCs w:val="24"/>
        </w:rPr>
        <w:t>14</w:t>
      </w:r>
      <w:r w:rsidR="000D60D9" w:rsidRPr="00FD0C87">
        <w:rPr>
          <w:rFonts w:cs="Arial"/>
          <w:b/>
          <w:szCs w:val="24"/>
        </w:rPr>
        <w:t>.</w:t>
      </w:r>
      <w:r w:rsidR="00B91A43">
        <w:rPr>
          <w:rFonts w:cs="Arial"/>
          <w:b/>
          <w:szCs w:val="24"/>
        </w:rPr>
        <w:t>1</w:t>
      </w:r>
      <w:r w:rsidR="00F94404">
        <w:rPr>
          <w:rFonts w:cs="Arial"/>
          <w:b/>
          <w:szCs w:val="24"/>
        </w:rPr>
        <w:t>2</w:t>
      </w:r>
      <w:r w:rsidR="00A54041" w:rsidRPr="00FD0C87">
        <w:rPr>
          <w:rFonts w:cs="Arial"/>
          <w:b/>
          <w:szCs w:val="24"/>
        </w:rPr>
        <w:t>.2015</w:t>
      </w:r>
    </w:p>
    <w:p w:rsidR="006F4668" w:rsidRPr="008A676C" w:rsidRDefault="006F4668" w:rsidP="00290519">
      <w:pPr>
        <w:spacing w:after="120"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621194">
        <w:rPr>
          <w:rFonts w:cs="Arial"/>
          <w:b/>
          <w:szCs w:val="24"/>
        </w:rPr>
        <w:t>647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247CD7" w:rsidRPr="008A676C" w:rsidRDefault="00247CD7" w:rsidP="00290519">
      <w:pPr>
        <w:spacing w:after="120" w:line="319" w:lineRule="auto"/>
        <w:rPr>
          <w:rFonts w:cs="Arial"/>
          <w:b/>
          <w:szCs w:val="24"/>
        </w:rPr>
      </w:pPr>
    </w:p>
    <w:p w:rsidR="006F4668" w:rsidRPr="008A676C" w:rsidRDefault="00366EE4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</w:t>
      </w:r>
      <w:r w:rsidR="00F94404">
        <w:rPr>
          <w:rFonts w:cs="Arial"/>
          <w:b/>
          <w:szCs w:val="24"/>
          <w:u w:val="single"/>
        </w:rPr>
        <w:t>1</w:t>
      </w:r>
      <w:r w:rsidR="00B91A43">
        <w:rPr>
          <w:rFonts w:cs="Arial"/>
          <w:b/>
          <w:szCs w:val="24"/>
          <w:u w:val="single"/>
        </w:rPr>
        <w:t>.</w:t>
      </w:r>
      <w:r w:rsidR="006F4668" w:rsidRPr="008A676C">
        <w:rPr>
          <w:rFonts w:cs="Arial"/>
          <w:b/>
          <w:szCs w:val="24"/>
          <w:u w:val="single"/>
        </w:rPr>
        <w:t xml:space="preserve"> Änderungsbeschluss zur Geschäftsverteilung</w:t>
      </w:r>
    </w:p>
    <w:p w:rsidR="006F4668" w:rsidRPr="008A676C" w:rsidRDefault="006F4668" w:rsidP="00290519">
      <w:pPr>
        <w:spacing w:line="360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5321CB" w:rsidRDefault="005321CB" w:rsidP="00290519">
      <w:pPr>
        <w:spacing w:line="360" w:lineRule="auto"/>
        <w:rPr>
          <w:rFonts w:cs="Arial"/>
          <w:b/>
          <w:szCs w:val="24"/>
        </w:rPr>
      </w:pPr>
    </w:p>
    <w:p w:rsidR="005321CB" w:rsidRDefault="00366EE4" w:rsidP="00290519">
      <w:r>
        <w:t xml:space="preserve">Richter am Landgericht </w:t>
      </w:r>
      <w:r>
        <w:rPr>
          <w:b/>
        </w:rPr>
        <w:t>Kipp</w:t>
      </w:r>
      <w:r>
        <w:t xml:space="preserve"> </w:t>
      </w:r>
      <w:r w:rsidR="00F94404">
        <w:t xml:space="preserve">ist </w:t>
      </w:r>
      <w:r>
        <w:t xml:space="preserve">zum Richter am Oberlandesgericht ernannt worden. Er bleibt bis </w:t>
      </w:r>
      <w:r w:rsidR="00BB5B13">
        <w:t xml:space="preserve">einschließlich 16.12.2015 mit ganzer Arbeitskraft und in der Zeit vom 17.12.2015 bis </w:t>
      </w:r>
      <w:r>
        <w:t>zum 31.12.2015</w:t>
      </w:r>
      <w:r w:rsidR="00BB5B13">
        <w:t xml:space="preserve"> mit halber Arbeitskraft</w:t>
      </w:r>
      <w:r>
        <w:t xml:space="preserve"> an das Landgericht Bielefeld rückabgeordnet.</w:t>
      </w:r>
    </w:p>
    <w:p w:rsidR="00F94404" w:rsidRDefault="00F94404" w:rsidP="00290519"/>
    <w:p w:rsidR="00B91A43" w:rsidRDefault="00B91A43" w:rsidP="00290519">
      <w:r>
        <w:t xml:space="preserve">Aus diesem Anlass wird die richterliche Geschäftsverteilung </w:t>
      </w:r>
      <w:r w:rsidR="00F94404">
        <w:t xml:space="preserve">mit Wirkung vom 17.12.2015 </w:t>
      </w:r>
      <w:r>
        <w:t>wie folgt geändert:</w:t>
      </w:r>
    </w:p>
    <w:p w:rsidR="00BB5B13" w:rsidRDefault="00BB5B13" w:rsidP="00290519"/>
    <w:p w:rsidR="001D3211" w:rsidRDefault="001D3211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1C60C0" w:rsidRDefault="00BB5B13" w:rsidP="00BB5B13">
      <w:r>
        <w:t xml:space="preserve">Richter am Oberlandesgericht </w:t>
      </w:r>
      <w:r>
        <w:rPr>
          <w:b/>
        </w:rPr>
        <w:t>Kipp</w:t>
      </w:r>
      <w:r>
        <w:t xml:space="preserve"> bleibt mit 0,1 seiner Arbeitskraft der 21. Zivi</w:t>
      </w:r>
      <w:r>
        <w:t>l</w:t>
      </w:r>
      <w:r>
        <w:t>kammer zugewiesen</w:t>
      </w:r>
      <w:r w:rsidR="00D854AB">
        <w:t>, aus der er im Übrigen ausscheidet.</w:t>
      </w:r>
    </w:p>
    <w:p w:rsidR="006345A2" w:rsidRDefault="006345A2" w:rsidP="00BB5B13">
      <w:r>
        <w:t>Das Präsidium nimmt zustimmend zur Kenntnis, dass er</w:t>
      </w:r>
      <w:r w:rsidRPr="00692898">
        <w:t xml:space="preserve"> </w:t>
      </w:r>
      <w:r>
        <w:t>im Umfang der verbleibe</w:t>
      </w:r>
      <w:r>
        <w:t>n</w:t>
      </w:r>
      <w:r>
        <w:t xml:space="preserve">den 0,4 seiner Arbeitskraft noch </w:t>
      </w:r>
      <w:r w:rsidRPr="00692898">
        <w:t xml:space="preserve">für </w:t>
      </w:r>
      <w:r>
        <w:t>Aufgaben der Justizverwaltung freigestellt bleibt.</w:t>
      </w:r>
    </w:p>
    <w:p w:rsidR="001D3211" w:rsidRDefault="001D3211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366EE4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Nagel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1D3211" w:rsidRDefault="001D3211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D854AB" w:rsidRPr="008A676C" w:rsidRDefault="00D854A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4B4A5D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sectPr w:rsidR="004B4A5D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1F0A"/>
    <w:rsid w:val="000353A1"/>
    <w:rsid w:val="0007035C"/>
    <w:rsid w:val="000A398C"/>
    <w:rsid w:val="000B0B17"/>
    <w:rsid w:val="000D0CA4"/>
    <w:rsid w:val="000D60D9"/>
    <w:rsid w:val="000F224D"/>
    <w:rsid w:val="00151150"/>
    <w:rsid w:val="0015709D"/>
    <w:rsid w:val="0016362A"/>
    <w:rsid w:val="00187E04"/>
    <w:rsid w:val="0019036C"/>
    <w:rsid w:val="0019446A"/>
    <w:rsid w:val="001C60C0"/>
    <w:rsid w:val="001D22F7"/>
    <w:rsid w:val="001D3211"/>
    <w:rsid w:val="001E1614"/>
    <w:rsid w:val="001E36A6"/>
    <w:rsid w:val="00204CBC"/>
    <w:rsid w:val="00214FDF"/>
    <w:rsid w:val="002223A7"/>
    <w:rsid w:val="00223B48"/>
    <w:rsid w:val="002255C6"/>
    <w:rsid w:val="00235B67"/>
    <w:rsid w:val="00237E24"/>
    <w:rsid w:val="00247CD7"/>
    <w:rsid w:val="0025420A"/>
    <w:rsid w:val="00264E1B"/>
    <w:rsid w:val="00290519"/>
    <w:rsid w:val="00292686"/>
    <w:rsid w:val="002A2F92"/>
    <w:rsid w:val="0030690D"/>
    <w:rsid w:val="00310EA0"/>
    <w:rsid w:val="00316C1F"/>
    <w:rsid w:val="0034452B"/>
    <w:rsid w:val="00345BED"/>
    <w:rsid w:val="003570B2"/>
    <w:rsid w:val="00366EE4"/>
    <w:rsid w:val="0037228D"/>
    <w:rsid w:val="003A06BB"/>
    <w:rsid w:val="003B3534"/>
    <w:rsid w:val="003B6A97"/>
    <w:rsid w:val="003C34B4"/>
    <w:rsid w:val="00427A16"/>
    <w:rsid w:val="00444857"/>
    <w:rsid w:val="00456CD0"/>
    <w:rsid w:val="00463D40"/>
    <w:rsid w:val="00465770"/>
    <w:rsid w:val="00483C1E"/>
    <w:rsid w:val="004860F8"/>
    <w:rsid w:val="004B4A5D"/>
    <w:rsid w:val="004D2382"/>
    <w:rsid w:val="004D42F3"/>
    <w:rsid w:val="004F3004"/>
    <w:rsid w:val="005049CB"/>
    <w:rsid w:val="00504DBC"/>
    <w:rsid w:val="00516F74"/>
    <w:rsid w:val="005321CB"/>
    <w:rsid w:val="0054225D"/>
    <w:rsid w:val="0057140C"/>
    <w:rsid w:val="005721A8"/>
    <w:rsid w:val="005875A7"/>
    <w:rsid w:val="00621194"/>
    <w:rsid w:val="006345A2"/>
    <w:rsid w:val="00636ACA"/>
    <w:rsid w:val="006940D3"/>
    <w:rsid w:val="006A1344"/>
    <w:rsid w:val="006B2ECE"/>
    <w:rsid w:val="006B4E09"/>
    <w:rsid w:val="006C2334"/>
    <w:rsid w:val="006D0B6D"/>
    <w:rsid w:val="006E1314"/>
    <w:rsid w:val="006F4668"/>
    <w:rsid w:val="00705C31"/>
    <w:rsid w:val="00721654"/>
    <w:rsid w:val="00743618"/>
    <w:rsid w:val="00747C95"/>
    <w:rsid w:val="007603F1"/>
    <w:rsid w:val="007839DD"/>
    <w:rsid w:val="007A695C"/>
    <w:rsid w:val="007C788C"/>
    <w:rsid w:val="007E0BEE"/>
    <w:rsid w:val="007E1A38"/>
    <w:rsid w:val="007F3DB8"/>
    <w:rsid w:val="007F75D7"/>
    <w:rsid w:val="00812BBA"/>
    <w:rsid w:val="00830DB3"/>
    <w:rsid w:val="00884481"/>
    <w:rsid w:val="00884979"/>
    <w:rsid w:val="00886167"/>
    <w:rsid w:val="00892567"/>
    <w:rsid w:val="008A0E5B"/>
    <w:rsid w:val="008A676C"/>
    <w:rsid w:val="008E1B2C"/>
    <w:rsid w:val="008E5E27"/>
    <w:rsid w:val="009208D3"/>
    <w:rsid w:val="009234FF"/>
    <w:rsid w:val="00925772"/>
    <w:rsid w:val="009469C6"/>
    <w:rsid w:val="00970F66"/>
    <w:rsid w:val="00982315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00F3F"/>
    <w:rsid w:val="00B23D48"/>
    <w:rsid w:val="00B26C2B"/>
    <w:rsid w:val="00B91A43"/>
    <w:rsid w:val="00BA7B05"/>
    <w:rsid w:val="00BB5B13"/>
    <w:rsid w:val="00BE03CC"/>
    <w:rsid w:val="00C3214B"/>
    <w:rsid w:val="00C70C7F"/>
    <w:rsid w:val="00C85907"/>
    <w:rsid w:val="00CA36C9"/>
    <w:rsid w:val="00CA3DDE"/>
    <w:rsid w:val="00CB446A"/>
    <w:rsid w:val="00CC318F"/>
    <w:rsid w:val="00CD2142"/>
    <w:rsid w:val="00D120CB"/>
    <w:rsid w:val="00D51778"/>
    <w:rsid w:val="00D5686F"/>
    <w:rsid w:val="00D6658C"/>
    <w:rsid w:val="00D854AB"/>
    <w:rsid w:val="00D85C6D"/>
    <w:rsid w:val="00D87BC4"/>
    <w:rsid w:val="00DC0086"/>
    <w:rsid w:val="00DD644D"/>
    <w:rsid w:val="00E06CF1"/>
    <w:rsid w:val="00E07582"/>
    <w:rsid w:val="00E10C11"/>
    <w:rsid w:val="00E17343"/>
    <w:rsid w:val="00E27F05"/>
    <w:rsid w:val="00E613CF"/>
    <w:rsid w:val="00E6403A"/>
    <w:rsid w:val="00E860C6"/>
    <w:rsid w:val="00E93DC3"/>
    <w:rsid w:val="00EB6B12"/>
    <w:rsid w:val="00EC583E"/>
    <w:rsid w:val="00ED0383"/>
    <w:rsid w:val="00EE6BE7"/>
    <w:rsid w:val="00EF2626"/>
    <w:rsid w:val="00EF79C8"/>
    <w:rsid w:val="00F01AEB"/>
    <w:rsid w:val="00F02F77"/>
    <w:rsid w:val="00F60314"/>
    <w:rsid w:val="00F754B2"/>
    <w:rsid w:val="00F84623"/>
    <w:rsid w:val="00F918DC"/>
    <w:rsid w:val="00F9203A"/>
    <w:rsid w:val="00F928D5"/>
    <w:rsid w:val="00F94404"/>
    <w:rsid w:val="00F97F14"/>
    <w:rsid w:val="00FA1D59"/>
    <w:rsid w:val="00FA3D0C"/>
    <w:rsid w:val="00FC0185"/>
    <w:rsid w:val="00FC43C7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6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C8E15-57F2-4BFB-A051-61BCC676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2015-10-27T09:06:00Z</cp:lastPrinted>
  <dcterms:created xsi:type="dcterms:W3CDTF">2015-12-15T06:14:00Z</dcterms:created>
  <dcterms:modified xsi:type="dcterms:W3CDTF">2015-12-15T06:14:00Z</dcterms:modified>
</cp:coreProperties>
</file>