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3E" w:rsidRPr="00AD1C23" w:rsidRDefault="00160B3E" w:rsidP="00160B3E">
      <w:pPr>
        <w:rPr>
          <w:b/>
        </w:rPr>
      </w:pPr>
      <w:r w:rsidRPr="00AD1C23">
        <w:rPr>
          <w:b/>
        </w:rPr>
        <w:t>Das Präsidium des Landgerichts</w:t>
      </w:r>
    </w:p>
    <w:p w:rsidR="00160B3E" w:rsidRDefault="00160B3E" w:rsidP="00160B3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90661A">
        <w:rPr>
          <w:b/>
        </w:rPr>
        <w:t>579</w:t>
      </w:r>
      <w:r>
        <w:rPr>
          <w:b/>
        </w:rPr>
        <w:t xml:space="preserve"> (10)</w:t>
      </w:r>
      <w:r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90661A">
        <w:rPr>
          <w:b/>
        </w:rPr>
        <w:t xml:space="preserve">           </w:t>
      </w:r>
      <w:r>
        <w:rPr>
          <w:b/>
        </w:rPr>
        <w:t xml:space="preserve">        </w:t>
      </w:r>
      <w:r w:rsidRPr="00AD1C23">
        <w:rPr>
          <w:b/>
        </w:rPr>
        <w:t xml:space="preserve">Bielefeld, den </w:t>
      </w:r>
      <w:r>
        <w:rPr>
          <w:b/>
        </w:rPr>
        <w:t>2</w:t>
      </w:r>
      <w:r w:rsidR="001F455E">
        <w:rPr>
          <w:b/>
        </w:rPr>
        <w:t>6</w:t>
      </w:r>
      <w:r>
        <w:rPr>
          <w:b/>
        </w:rPr>
        <w:t>.08.</w:t>
      </w:r>
      <w:r w:rsidRPr="00AD1C23">
        <w:rPr>
          <w:b/>
        </w:rPr>
        <w:t>201</w:t>
      </w:r>
      <w:r>
        <w:rPr>
          <w:b/>
        </w:rPr>
        <w:t>4</w:t>
      </w:r>
    </w:p>
    <w:p w:rsidR="00160B3E" w:rsidRPr="007E4C5C" w:rsidRDefault="00160B3E" w:rsidP="00160B3E">
      <w:pPr>
        <w:rPr>
          <w:b/>
          <w:sz w:val="20"/>
          <w:szCs w:val="20"/>
        </w:rPr>
      </w:pPr>
    </w:p>
    <w:p w:rsidR="00160B3E" w:rsidRPr="007E4C5C" w:rsidRDefault="00160B3E" w:rsidP="00160B3E">
      <w:pPr>
        <w:rPr>
          <w:b/>
          <w:sz w:val="20"/>
          <w:szCs w:val="20"/>
        </w:rPr>
      </w:pPr>
    </w:p>
    <w:p w:rsidR="00160B3E" w:rsidRPr="00AD1C23" w:rsidRDefault="00160B3E" w:rsidP="00160B3E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Pr="00AD1C23">
        <w:rPr>
          <w:b/>
          <w:u w:val="single"/>
        </w:rPr>
        <w:t>. Änderungsbeschluss zur Geschäftsverteilung</w:t>
      </w:r>
    </w:p>
    <w:p w:rsidR="00160B3E" w:rsidRDefault="00160B3E" w:rsidP="00160B3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160B3E" w:rsidRDefault="00160B3E" w:rsidP="00160B3E">
      <w:pPr>
        <w:tabs>
          <w:tab w:val="left" w:pos="2835"/>
          <w:tab w:val="left" w:pos="6379"/>
        </w:tabs>
        <w:jc w:val="both"/>
        <w:rPr>
          <w:b/>
        </w:rPr>
      </w:pPr>
    </w:p>
    <w:p w:rsidR="008C1C72" w:rsidRPr="008C1C72" w:rsidRDefault="008C1C72" w:rsidP="00160B3E">
      <w:pPr>
        <w:spacing w:after="120"/>
        <w:jc w:val="both"/>
        <w:rPr>
          <w:b/>
        </w:rPr>
      </w:pPr>
      <w:r>
        <w:rPr>
          <w:b/>
        </w:rPr>
        <w:t>A.</w:t>
      </w:r>
    </w:p>
    <w:p w:rsidR="00DC7193" w:rsidRPr="00DC7193" w:rsidRDefault="001F455E" w:rsidP="00D517EE">
      <w:pPr>
        <w:jc w:val="both"/>
      </w:pPr>
      <w:r>
        <w:t xml:space="preserve">Am 01.09.2014 tritt Richterin </w:t>
      </w:r>
      <w:r>
        <w:rPr>
          <w:b/>
        </w:rPr>
        <w:t xml:space="preserve">Dahlmann </w:t>
      </w:r>
      <w:r>
        <w:t xml:space="preserve">ihren Dienst bei dem Landgericht Bielefeld an. </w:t>
      </w:r>
      <w:r w:rsidR="00D517EE">
        <w:t>Mit Ablauf des 02</w:t>
      </w:r>
      <w:r w:rsidR="008C1C72">
        <w:t xml:space="preserve">.09.2014 </w:t>
      </w:r>
      <w:r w:rsidR="00D517EE">
        <w:t xml:space="preserve">endet die </w:t>
      </w:r>
      <w:r w:rsidR="008C1C72">
        <w:t xml:space="preserve">Richter am Landgericht </w:t>
      </w:r>
      <w:r w:rsidR="008C1C72">
        <w:rPr>
          <w:b/>
        </w:rPr>
        <w:t xml:space="preserve">Niesten-Dietrich </w:t>
      </w:r>
      <w:r w:rsidR="00D517EE" w:rsidRPr="00D517EE">
        <w:t>bewilligte</w:t>
      </w:r>
      <w:r w:rsidR="00D517EE">
        <w:rPr>
          <w:b/>
        </w:rPr>
        <w:t xml:space="preserve"> </w:t>
      </w:r>
      <w:r w:rsidR="008C1C72">
        <w:t>Elternzeit</w:t>
      </w:r>
      <w:r w:rsidR="00D517EE">
        <w:t>; anschließend nimmt</w:t>
      </w:r>
      <w:r w:rsidR="008C1C72">
        <w:t xml:space="preserve"> </w:t>
      </w:r>
      <w:r w:rsidR="00D517EE">
        <w:t xml:space="preserve">er </w:t>
      </w:r>
      <w:r w:rsidR="008C1C72">
        <w:t>seinen Dienst in der Zeit vom 03. bis 30.09.2014 zunächst mit Urlaub</w:t>
      </w:r>
      <w:r w:rsidR="00D517EE">
        <w:t xml:space="preserve"> wieder auf</w:t>
      </w:r>
      <w:r w:rsidR="008C1C72">
        <w:t xml:space="preserve">. </w:t>
      </w:r>
      <w:r>
        <w:t xml:space="preserve">Mit Ablauf des 14.09.2014 endet der Dienstleistungsauftrag von Richter </w:t>
      </w:r>
      <w:r>
        <w:rPr>
          <w:b/>
        </w:rPr>
        <w:t>Besserdich</w:t>
      </w:r>
      <w:r>
        <w:t xml:space="preserve">. Die Abordnung von </w:t>
      </w:r>
      <w:r w:rsidR="00DC7193">
        <w:t xml:space="preserve">Richter </w:t>
      </w:r>
      <w:r w:rsidR="00DC7193">
        <w:rPr>
          <w:b/>
        </w:rPr>
        <w:t>York</w:t>
      </w:r>
      <w:r w:rsidR="00DC7193">
        <w:t xml:space="preserve"> </w:t>
      </w:r>
      <w:r w:rsidR="00EF1BDE">
        <w:t xml:space="preserve">an das Landgericht Bielefeld </w:t>
      </w:r>
      <w:r>
        <w:t>ist bis zum 31.10.2014 verlängert worden</w:t>
      </w:r>
      <w:r w:rsidR="008C1C72">
        <w:t xml:space="preserve">. </w:t>
      </w:r>
    </w:p>
    <w:p w:rsidR="000B5580" w:rsidRDefault="000B5580" w:rsidP="00D517EE">
      <w:pPr>
        <w:jc w:val="both"/>
      </w:pPr>
    </w:p>
    <w:p w:rsidR="00160B3E" w:rsidRDefault="00160B3E" w:rsidP="00160B3E">
      <w:pPr>
        <w:jc w:val="both"/>
      </w:pPr>
      <w:r>
        <w:t>Aus diesem Grund wird die Geschäftsverteilung wie folgt geändert:</w:t>
      </w:r>
    </w:p>
    <w:p w:rsidR="00160B3E" w:rsidRDefault="00160B3E" w:rsidP="00160B3E">
      <w:pPr>
        <w:spacing w:after="120"/>
        <w:jc w:val="both"/>
      </w:pPr>
    </w:p>
    <w:p w:rsidR="008C1C72" w:rsidRDefault="008C1C72" w:rsidP="008C1C72">
      <w:pPr>
        <w:pStyle w:val="Listenabsatz"/>
        <w:numPr>
          <w:ilvl w:val="0"/>
          <w:numId w:val="1"/>
        </w:numPr>
        <w:spacing w:after="120"/>
        <w:ind w:left="709"/>
        <w:contextualSpacing w:val="0"/>
        <w:jc w:val="both"/>
      </w:pPr>
      <w:r>
        <w:t>Mit Wirkung vom 01.09.2014:</w:t>
      </w:r>
    </w:p>
    <w:p w:rsidR="00EF1BDE" w:rsidRDefault="008C1C72" w:rsidP="00EF1BDE">
      <w:pPr>
        <w:pStyle w:val="Listenabsatz"/>
        <w:numPr>
          <w:ilvl w:val="0"/>
          <w:numId w:val="6"/>
        </w:numPr>
        <w:jc w:val="both"/>
      </w:pPr>
      <w:r>
        <w:t xml:space="preserve">Richterin </w:t>
      </w:r>
      <w:r w:rsidRPr="00EF1BDE">
        <w:rPr>
          <w:b/>
        </w:rPr>
        <w:t xml:space="preserve">Dahlmann </w:t>
      </w:r>
      <w:r>
        <w:t>wird der 9. Zivilkammer zugewiesen.</w:t>
      </w:r>
    </w:p>
    <w:p w:rsidR="00EF1BDE" w:rsidRPr="009F0C6B" w:rsidRDefault="00EF1BDE" w:rsidP="00EF1BDE">
      <w:pPr>
        <w:pStyle w:val="Listenabsatz"/>
        <w:numPr>
          <w:ilvl w:val="0"/>
          <w:numId w:val="6"/>
        </w:numPr>
        <w:jc w:val="both"/>
      </w:pPr>
      <w:r w:rsidRPr="009F0C6B">
        <w:t xml:space="preserve">Richter </w:t>
      </w:r>
      <w:r w:rsidRPr="009F0C6B">
        <w:rPr>
          <w:b/>
        </w:rPr>
        <w:t>York</w:t>
      </w:r>
      <w:r w:rsidR="001F4E9A" w:rsidRPr="009F0C6B">
        <w:t xml:space="preserve"> wird mit </w:t>
      </w:r>
      <w:r w:rsidRPr="009F0C6B">
        <w:t xml:space="preserve">0,2 </w:t>
      </w:r>
      <w:r w:rsidR="001F4E9A" w:rsidRPr="009F0C6B">
        <w:t xml:space="preserve">seiner Arbeitskraft der </w:t>
      </w:r>
      <w:r w:rsidRPr="009F0C6B">
        <w:t xml:space="preserve">16. </w:t>
      </w:r>
      <w:r w:rsidR="001F4E9A" w:rsidRPr="009F0C6B">
        <w:t>Strafkammer (</w:t>
      </w:r>
      <w:proofErr w:type="spellStart"/>
      <w:r w:rsidRPr="009F0C6B">
        <w:t>StVK</w:t>
      </w:r>
      <w:proofErr w:type="spellEnd"/>
      <w:r w:rsidR="001F4E9A" w:rsidRPr="009F0C6B">
        <w:t>), mit 0,4 seiner Arbeitskraft der 15. Strafkammer (</w:t>
      </w:r>
      <w:proofErr w:type="spellStart"/>
      <w:r w:rsidR="009F0C6B" w:rsidRPr="009F0C6B">
        <w:t>StVK</w:t>
      </w:r>
      <w:proofErr w:type="spellEnd"/>
      <w:r w:rsidR="009F0C6B" w:rsidRPr="009F0C6B">
        <w:t>) und mit 0,25 seiner A</w:t>
      </w:r>
      <w:r w:rsidR="009F0C6B" w:rsidRPr="009F0C6B">
        <w:t>r</w:t>
      </w:r>
      <w:r w:rsidR="009F0C6B" w:rsidRPr="009F0C6B">
        <w:t>beitskraft der 17. Strafkammer (</w:t>
      </w:r>
      <w:proofErr w:type="spellStart"/>
      <w:r w:rsidR="009F0C6B" w:rsidRPr="009F0C6B">
        <w:t>StVK</w:t>
      </w:r>
      <w:proofErr w:type="spellEnd"/>
      <w:r w:rsidR="009F0C6B" w:rsidRPr="009F0C6B">
        <w:t xml:space="preserve">) zugewiesen. Mit seinem verbleibenden Arbeitskraftanteil von 0,15 </w:t>
      </w:r>
      <w:r w:rsidRPr="009F0C6B">
        <w:t xml:space="preserve">bleibt er </w:t>
      </w:r>
      <w:r w:rsidR="009F0C6B" w:rsidRPr="009F0C6B">
        <w:t xml:space="preserve">der </w:t>
      </w:r>
      <w:r w:rsidRPr="009F0C6B">
        <w:t xml:space="preserve">4. Strafkammer </w:t>
      </w:r>
      <w:r w:rsidR="009F0C6B" w:rsidRPr="009F0C6B">
        <w:t>anlässlich seiner Mi</w:t>
      </w:r>
      <w:r w:rsidR="009F0C6B" w:rsidRPr="009F0C6B">
        <w:t>t</w:t>
      </w:r>
      <w:r w:rsidR="009F0C6B" w:rsidRPr="009F0C6B">
        <w:t xml:space="preserve">wirkung in dem </w:t>
      </w:r>
      <w:r w:rsidRPr="009F0C6B">
        <w:t xml:space="preserve">Strafverfahren </w:t>
      </w:r>
      <w:r w:rsidRPr="009F0C6B">
        <w:rPr>
          <w:bCs/>
          <w:color w:val="000000"/>
        </w:rPr>
        <w:t xml:space="preserve">04 KLs-336 Js 267/14-27/14 gegen Kizilkaya u.a. zugewiesen. </w:t>
      </w:r>
    </w:p>
    <w:p w:rsidR="00EF1BDE" w:rsidRDefault="00EF1BDE" w:rsidP="00EF1BDE">
      <w:pPr>
        <w:jc w:val="both"/>
      </w:pPr>
    </w:p>
    <w:p w:rsidR="008C1C72" w:rsidRDefault="00EF1BDE" w:rsidP="00EF1BDE">
      <w:pPr>
        <w:jc w:val="both"/>
      </w:pPr>
      <w:r>
        <w:t>II.</w:t>
      </w:r>
      <w:r>
        <w:tab/>
      </w:r>
      <w:r w:rsidR="008C1C72">
        <w:t>Mit Wirkung vom 03.09.2014:</w:t>
      </w:r>
    </w:p>
    <w:p w:rsidR="008C1C72" w:rsidRDefault="008C1C72" w:rsidP="00EF1BDE">
      <w:pPr>
        <w:pStyle w:val="Listenabsatz"/>
        <w:contextualSpacing w:val="0"/>
        <w:jc w:val="both"/>
      </w:pPr>
      <w:r>
        <w:t xml:space="preserve">Richter am Landgericht </w:t>
      </w:r>
      <w:r>
        <w:rPr>
          <w:b/>
        </w:rPr>
        <w:t xml:space="preserve">Niesten-Dietrich </w:t>
      </w:r>
      <w:r>
        <w:t xml:space="preserve">wird </w:t>
      </w:r>
      <w:r w:rsidR="00EF1BDE">
        <w:t xml:space="preserve">mit 0,9 seiner Arbeitskraft </w:t>
      </w:r>
      <w:r>
        <w:t xml:space="preserve">der </w:t>
      </w:r>
      <w:r w:rsidR="00EF1BDE">
        <w:t>5</w:t>
      </w:r>
      <w:r>
        <w:t>. Zivilkammer zugewiesen.</w:t>
      </w:r>
    </w:p>
    <w:p w:rsidR="00131163" w:rsidRDefault="00131163" w:rsidP="00131163">
      <w:pPr>
        <w:jc w:val="both"/>
      </w:pPr>
    </w:p>
    <w:p w:rsidR="00131163" w:rsidRDefault="00131163" w:rsidP="00131163">
      <w:pPr>
        <w:jc w:val="both"/>
      </w:pPr>
      <w:r>
        <w:t>III.</w:t>
      </w:r>
      <w:r>
        <w:tab/>
        <w:t>Mit Wirkung vom 05.09.2014:</w:t>
      </w:r>
    </w:p>
    <w:p w:rsidR="009F0C6B" w:rsidRDefault="009F0C6B" w:rsidP="009F0C6B">
      <w:pPr>
        <w:pStyle w:val="Listenabsatz"/>
        <w:jc w:val="both"/>
      </w:pPr>
      <w:r>
        <w:t xml:space="preserve">Richter am Landgericht </w:t>
      </w:r>
      <w:r>
        <w:rPr>
          <w:b/>
        </w:rPr>
        <w:t xml:space="preserve">Kipp </w:t>
      </w:r>
      <w:r w:rsidR="00CF7941" w:rsidRPr="00CF7941">
        <w:t xml:space="preserve">wird nicht </w:t>
      </w:r>
      <w:r w:rsidR="00CF7941">
        <w:t xml:space="preserve">anteilig </w:t>
      </w:r>
      <w:r w:rsidR="00CF7941" w:rsidRPr="00CF7941">
        <w:t>der 17.</w:t>
      </w:r>
      <w:r w:rsidR="00CF7941">
        <w:t xml:space="preserve"> Strafkammer (</w:t>
      </w:r>
      <w:proofErr w:type="spellStart"/>
      <w:r w:rsidR="00CF7941">
        <w:t>StVK</w:t>
      </w:r>
      <w:proofErr w:type="spellEnd"/>
      <w:r w:rsidR="00CF7941">
        <w:t xml:space="preserve">) zugewiesen, sondern bleibt weiter mit voller Arbeitskraft </w:t>
      </w:r>
      <w:r w:rsidR="002F018A">
        <w:t xml:space="preserve">Mitglied </w:t>
      </w:r>
      <w:r w:rsidR="00CF7941">
        <w:t>der 9. Zivi</w:t>
      </w:r>
      <w:r w:rsidR="00CF7941">
        <w:t>l</w:t>
      </w:r>
      <w:r w:rsidR="00CF7941">
        <w:t>kammer.</w:t>
      </w:r>
    </w:p>
    <w:p w:rsidR="00CF7941" w:rsidRDefault="00CF7941" w:rsidP="009F0C6B">
      <w:pPr>
        <w:pStyle w:val="Listenabsatz"/>
        <w:jc w:val="both"/>
      </w:pPr>
    </w:p>
    <w:p w:rsidR="00CF7941" w:rsidRPr="009F0C6B" w:rsidRDefault="00CF7941" w:rsidP="009F0C6B">
      <w:pPr>
        <w:pStyle w:val="Listenabsatz"/>
        <w:jc w:val="both"/>
      </w:pPr>
    </w:p>
    <w:p w:rsidR="008C1C72" w:rsidRPr="00FB4891" w:rsidRDefault="00131163" w:rsidP="008C1C72">
      <w:pPr>
        <w:spacing w:after="120"/>
        <w:jc w:val="both"/>
        <w:rPr>
          <w:b/>
        </w:rPr>
      </w:pPr>
      <w:r>
        <w:rPr>
          <w:b/>
        </w:rPr>
        <w:t>B</w:t>
      </w:r>
      <w:r w:rsidR="008C1C72" w:rsidRPr="00FB4891">
        <w:rPr>
          <w:b/>
        </w:rPr>
        <w:t>.</w:t>
      </w:r>
    </w:p>
    <w:p w:rsidR="008C1C72" w:rsidRDefault="008C1C72" w:rsidP="008C1C72">
      <w:pPr>
        <w:spacing w:after="120"/>
        <w:jc w:val="both"/>
      </w:pPr>
      <w:r>
        <w:t xml:space="preserve">Die 15. Zivilkammer (6. Kammer für Handelssachen) ist infolge unerwartet hoher Eingänge überlastet. </w:t>
      </w:r>
    </w:p>
    <w:p w:rsidR="008C1C72" w:rsidRDefault="008C1C72" w:rsidP="008C1C72">
      <w:pPr>
        <w:spacing w:after="120"/>
        <w:jc w:val="both"/>
      </w:pPr>
      <w:r>
        <w:t>Zu ihrer Entlastung übernehmen die 16. Zivilkammer (7. Kammer für Handelssachen) die ersten 7 und die 17. Zivilkammer (8</w:t>
      </w:r>
      <w:r w:rsidR="00D517EE">
        <w:t xml:space="preserve">. Kammer für Handelssachen) das </w:t>
      </w:r>
      <w:r>
        <w:t>8. bis 20. der ab dem 01.09.2014 eingehenden Verfahren aus dem Zuständigkeitsbereich der 15. Zivilkammer (6. Kammer für Handelssachen).</w:t>
      </w:r>
    </w:p>
    <w:p w:rsidR="008C1C72" w:rsidRDefault="008C1C72" w:rsidP="000F153A">
      <w:pPr>
        <w:jc w:val="both"/>
      </w:pPr>
    </w:p>
    <w:p w:rsidR="008C1C72" w:rsidRDefault="008C1C72" w:rsidP="000F153A">
      <w:pPr>
        <w:jc w:val="both"/>
      </w:pP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Pr="00F02D04" w:rsidRDefault="002041EA" w:rsidP="00160B3E">
      <w:pPr>
        <w:tabs>
          <w:tab w:val="left" w:pos="2835"/>
          <w:tab w:val="left" w:pos="6379"/>
        </w:tabs>
        <w:spacing w:line="240" w:lineRule="auto"/>
      </w:pPr>
      <w:r>
        <w:t>Nagel</w:t>
      </w:r>
      <w:r w:rsidR="00160B3E" w:rsidRPr="00F02D04">
        <w:tab/>
      </w:r>
      <w:r w:rsidR="00160B3E" w:rsidRPr="008D4AED">
        <w:t>Beckhaus-Schmidt</w:t>
      </w:r>
      <w:r w:rsidR="00160B3E" w:rsidRPr="00F02D04">
        <w:t xml:space="preserve"> </w:t>
      </w:r>
      <w:r w:rsidR="00160B3E" w:rsidRPr="00F02D04">
        <w:tab/>
      </w:r>
      <w:r w:rsidR="00160B3E" w:rsidRPr="008D4AED">
        <w:t>Drees</w:t>
      </w: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Pr="00F02D04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Pr="00F02D04" w:rsidRDefault="00160B3E" w:rsidP="00160B3E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Pr="00F02D04" w:rsidRDefault="00160B3E" w:rsidP="00160B3E">
      <w:pPr>
        <w:tabs>
          <w:tab w:val="left" w:pos="2835"/>
          <w:tab w:val="left" w:pos="6379"/>
        </w:tabs>
        <w:spacing w:line="240" w:lineRule="auto"/>
      </w:pP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160B3E" w:rsidRDefault="00160B3E" w:rsidP="00160B3E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753F02" w:rsidRDefault="00753F02" w:rsidP="00982315"/>
    <w:sectPr w:rsidR="00753F02" w:rsidSect="00714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63" w:rsidRDefault="00131163" w:rsidP="0075669F">
      <w:pPr>
        <w:spacing w:line="240" w:lineRule="auto"/>
      </w:pPr>
      <w:r>
        <w:separator/>
      </w:r>
    </w:p>
  </w:endnote>
  <w:endnote w:type="continuationSeparator" w:id="0">
    <w:p w:rsidR="00131163" w:rsidRDefault="00131163" w:rsidP="0075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63" w:rsidRDefault="0013116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63" w:rsidRDefault="00131163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63" w:rsidRDefault="001311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63" w:rsidRDefault="00131163" w:rsidP="0075669F">
      <w:pPr>
        <w:spacing w:line="240" w:lineRule="auto"/>
      </w:pPr>
      <w:r>
        <w:separator/>
      </w:r>
    </w:p>
  </w:footnote>
  <w:footnote w:type="continuationSeparator" w:id="0">
    <w:p w:rsidR="00131163" w:rsidRDefault="00131163" w:rsidP="00756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63" w:rsidRDefault="0013116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63" w:rsidRDefault="0013116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63" w:rsidRDefault="0013116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FAC"/>
    <w:multiLevelType w:val="hybridMultilevel"/>
    <w:tmpl w:val="82989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4CA5"/>
    <w:multiLevelType w:val="hybridMultilevel"/>
    <w:tmpl w:val="18107BB4"/>
    <w:lvl w:ilvl="0" w:tplc="EF2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2DCA"/>
    <w:multiLevelType w:val="hybridMultilevel"/>
    <w:tmpl w:val="0302AA80"/>
    <w:lvl w:ilvl="0" w:tplc="2E802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4114D"/>
    <w:multiLevelType w:val="hybridMultilevel"/>
    <w:tmpl w:val="20F47CCA"/>
    <w:lvl w:ilvl="0" w:tplc="DB32BCA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27F46C8A"/>
    <w:multiLevelType w:val="hybridMultilevel"/>
    <w:tmpl w:val="82989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03AB"/>
    <w:multiLevelType w:val="hybridMultilevel"/>
    <w:tmpl w:val="658C2F44"/>
    <w:lvl w:ilvl="0" w:tplc="AAE6A3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26D44"/>
    <w:multiLevelType w:val="hybridMultilevel"/>
    <w:tmpl w:val="695C4E1C"/>
    <w:lvl w:ilvl="0" w:tplc="7C900DDE">
      <w:start w:val="30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B3E"/>
    <w:rsid w:val="00015C3A"/>
    <w:rsid w:val="000A5B53"/>
    <w:rsid w:val="000B5580"/>
    <w:rsid w:val="000F153A"/>
    <w:rsid w:val="00131163"/>
    <w:rsid w:val="00143DB8"/>
    <w:rsid w:val="00156099"/>
    <w:rsid w:val="00160B3E"/>
    <w:rsid w:val="00190878"/>
    <w:rsid w:val="001F455E"/>
    <w:rsid w:val="001F4E9A"/>
    <w:rsid w:val="002041EA"/>
    <w:rsid w:val="0021427D"/>
    <w:rsid w:val="002255C6"/>
    <w:rsid w:val="0023388D"/>
    <w:rsid w:val="00237E24"/>
    <w:rsid w:val="002A1451"/>
    <w:rsid w:val="002F018A"/>
    <w:rsid w:val="00300442"/>
    <w:rsid w:val="00304AD2"/>
    <w:rsid w:val="003B2489"/>
    <w:rsid w:val="004031CC"/>
    <w:rsid w:val="00444857"/>
    <w:rsid w:val="004952E7"/>
    <w:rsid w:val="005F0F6F"/>
    <w:rsid w:val="00667908"/>
    <w:rsid w:val="00694A74"/>
    <w:rsid w:val="006D203D"/>
    <w:rsid w:val="00710C88"/>
    <w:rsid w:val="00714B6D"/>
    <w:rsid w:val="00753F02"/>
    <w:rsid w:val="0075669F"/>
    <w:rsid w:val="007603F1"/>
    <w:rsid w:val="008C1C72"/>
    <w:rsid w:val="008C7D27"/>
    <w:rsid w:val="0090661A"/>
    <w:rsid w:val="00982315"/>
    <w:rsid w:val="009B454C"/>
    <w:rsid w:val="009B5842"/>
    <w:rsid w:val="009D40BB"/>
    <w:rsid w:val="009E7B2E"/>
    <w:rsid w:val="009F0C6B"/>
    <w:rsid w:val="00A10E3D"/>
    <w:rsid w:val="00A443DE"/>
    <w:rsid w:val="00BB0C59"/>
    <w:rsid w:val="00CF7941"/>
    <w:rsid w:val="00D2055A"/>
    <w:rsid w:val="00D517EE"/>
    <w:rsid w:val="00DC7193"/>
    <w:rsid w:val="00DC7D9E"/>
    <w:rsid w:val="00E16490"/>
    <w:rsid w:val="00E41980"/>
    <w:rsid w:val="00EF1BDE"/>
    <w:rsid w:val="00FA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0B3E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0B3E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160B3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160B3E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60B3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0B3E"/>
    <w:rPr>
      <w:rFonts w:cs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PotthastN</cp:lastModifiedBy>
  <cp:revision>2</cp:revision>
  <cp:lastPrinted>2014-08-26T06:38:00Z</cp:lastPrinted>
  <dcterms:created xsi:type="dcterms:W3CDTF">2014-08-28T11:01:00Z</dcterms:created>
  <dcterms:modified xsi:type="dcterms:W3CDTF">2014-08-28T11:01:00Z</dcterms:modified>
</cp:coreProperties>
</file>